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40"/>
      </w:tblGrid>
      <w:tr w:rsidR="00F8089F" w:rsidRPr="003824AF" w:rsidTr="00572527">
        <w:trPr>
          <w:trHeight w:val="154"/>
        </w:trPr>
        <w:tc>
          <w:tcPr>
            <w:tcW w:w="9640" w:type="dxa"/>
            <w:vAlign w:val="center"/>
          </w:tcPr>
          <w:p w:rsidR="00F8089F" w:rsidRPr="00F8089F" w:rsidRDefault="00F8089F" w:rsidP="00572527">
            <w:pPr>
              <w:ind w:left="0" w:right="0"/>
              <w:jc w:val="left"/>
              <w:rPr>
                <w:rFonts w:ascii="Times New Roman" w:hAnsi="Times New Roman" w:cs="Times New Roman"/>
                <w:sz w:val="24"/>
                <w:szCs w:val="24"/>
              </w:rPr>
            </w:pPr>
          </w:p>
        </w:tc>
      </w:tr>
    </w:tbl>
    <w:p w:rsidR="00F45AC3" w:rsidRPr="00BF579F" w:rsidRDefault="00F45AC3" w:rsidP="00F45AC3">
      <w:pPr>
        <w:spacing w:after="0" w:line="240" w:lineRule="auto"/>
        <w:jc w:val="center"/>
        <w:rPr>
          <w:rFonts w:ascii="Verdana" w:eastAsiaTheme="minorHAnsi" w:hAnsi="Verdana" w:cs="Times New Roman"/>
          <w:b/>
          <w:sz w:val="20"/>
          <w:szCs w:val="20"/>
          <w:lang w:eastAsia="en-US"/>
        </w:rPr>
      </w:pPr>
      <w:r w:rsidRPr="00BF579F">
        <w:rPr>
          <w:rFonts w:ascii="Verdana" w:eastAsiaTheme="minorHAnsi" w:hAnsi="Verdana" w:cs="Times New Roman"/>
          <w:b/>
          <w:sz w:val="20"/>
          <w:szCs w:val="20"/>
          <w:lang w:eastAsia="en-US"/>
        </w:rPr>
        <w:t xml:space="preserve">Информация </w:t>
      </w:r>
    </w:p>
    <w:p w:rsidR="00BF579F" w:rsidRDefault="00F45AC3" w:rsidP="00BF579F">
      <w:pPr>
        <w:spacing w:after="0" w:line="240" w:lineRule="auto"/>
        <w:jc w:val="center"/>
        <w:rPr>
          <w:rFonts w:ascii="Verdana" w:hAnsi="Verdana" w:cs="Times New Roman"/>
          <w:b/>
          <w:sz w:val="20"/>
          <w:szCs w:val="20"/>
        </w:rPr>
      </w:pPr>
      <w:r w:rsidRPr="00BF579F">
        <w:rPr>
          <w:rFonts w:ascii="Verdana" w:eastAsiaTheme="minorHAnsi" w:hAnsi="Verdana" w:cs="Times New Roman"/>
          <w:b/>
          <w:sz w:val="20"/>
          <w:szCs w:val="20"/>
          <w:lang w:eastAsia="en-US"/>
        </w:rPr>
        <w:t xml:space="preserve"> о результатах проверки </w:t>
      </w:r>
      <w:r w:rsidRPr="00BF579F">
        <w:rPr>
          <w:rFonts w:ascii="Verdana" w:hAnsi="Verdana" w:cs="Times New Roman"/>
          <w:b/>
          <w:sz w:val="20"/>
          <w:szCs w:val="20"/>
        </w:rPr>
        <w:t xml:space="preserve">деятельности  МУП «Банно-Оздоровительный Комплекс МОГО «Ухта» по вопросу перечисления в бюджет МОГО «Ухта» части прибыли, остающейся в распоряжении муниципального унитарного предприятия после уплаты налогов, сборов и иных обязательных платежей, за период  </w:t>
      </w:r>
    </w:p>
    <w:p w:rsidR="00B46462" w:rsidRPr="00BF579F" w:rsidRDefault="00F45AC3" w:rsidP="00AD42FE">
      <w:pPr>
        <w:spacing w:after="120" w:line="240" w:lineRule="auto"/>
        <w:jc w:val="center"/>
        <w:rPr>
          <w:rFonts w:ascii="Times New Roman" w:eastAsiaTheme="minorHAnsi" w:hAnsi="Times New Roman" w:cs="Times New Roman"/>
          <w:b/>
          <w:sz w:val="24"/>
          <w:szCs w:val="24"/>
          <w:lang w:eastAsia="en-US"/>
        </w:rPr>
      </w:pPr>
      <w:r w:rsidRPr="00BF579F">
        <w:rPr>
          <w:rFonts w:ascii="Verdana" w:hAnsi="Verdana" w:cs="Times New Roman"/>
          <w:b/>
          <w:sz w:val="20"/>
          <w:szCs w:val="20"/>
        </w:rPr>
        <w:t>2022-2023 годов</w:t>
      </w:r>
    </w:p>
    <w:p w:rsidR="00F45AC3" w:rsidRPr="00BF579F" w:rsidRDefault="00F45AC3" w:rsidP="00AD42FE">
      <w:pPr>
        <w:spacing w:after="120" w:line="240" w:lineRule="auto"/>
        <w:jc w:val="center"/>
        <w:rPr>
          <w:rFonts w:ascii="Times New Roman" w:eastAsiaTheme="minorHAnsi" w:hAnsi="Times New Roman" w:cs="Times New Roman"/>
          <w:b/>
          <w:sz w:val="20"/>
          <w:szCs w:val="20"/>
          <w:lang w:eastAsia="en-US"/>
        </w:rPr>
      </w:pPr>
    </w:p>
    <w:p w:rsidR="00F45AC3" w:rsidRDefault="00F45AC3" w:rsidP="009E484C">
      <w:pPr>
        <w:spacing w:after="0" w:line="240" w:lineRule="auto"/>
        <w:ind w:firstLine="709"/>
        <w:jc w:val="both"/>
        <w:rPr>
          <w:rFonts w:ascii="Verdana" w:eastAsiaTheme="minorHAnsi" w:hAnsi="Verdana" w:cs="Times New Roman"/>
          <w:sz w:val="20"/>
          <w:szCs w:val="20"/>
          <w:lang w:eastAsia="en-US"/>
        </w:rPr>
      </w:pPr>
      <w:r w:rsidRPr="00F45AC3">
        <w:rPr>
          <w:rFonts w:ascii="Verdana" w:eastAsiaTheme="minorHAnsi" w:hAnsi="Verdana" w:cs="Times New Roman"/>
          <w:sz w:val="20"/>
          <w:szCs w:val="20"/>
          <w:lang w:eastAsia="en-US"/>
        </w:rPr>
        <w:t>Контрольно-счетной палатой муниципального округа «Ухта» проведено  плановое контрольное мероприятие «</w:t>
      </w:r>
      <w:r w:rsidR="006A2F0A">
        <w:rPr>
          <w:rFonts w:ascii="Verdana" w:eastAsiaTheme="minorHAnsi" w:hAnsi="Verdana" w:cs="Times New Roman"/>
          <w:sz w:val="20"/>
          <w:szCs w:val="20"/>
          <w:lang w:eastAsia="en-US"/>
        </w:rPr>
        <w:t>П</w:t>
      </w:r>
      <w:r w:rsidRPr="00F45AC3">
        <w:rPr>
          <w:rFonts w:ascii="Verdana" w:eastAsiaTheme="minorHAnsi" w:hAnsi="Verdana" w:cs="Times New Roman"/>
          <w:sz w:val="20"/>
          <w:szCs w:val="20"/>
          <w:lang w:eastAsia="en-US"/>
        </w:rPr>
        <w:t>роверк</w:t>
      </w:r>
      <w:r w:rsidR="006A2F0A">
        <w:rPr>
          <w:rFonts w:ascii="Verdana" w:eastAsiaTheme="minorHAnsi" w:hAnsi="Verdana" w:cs="Times New Roman"/>
          <w:sz w:val="20"/>
          <w:szCs w:val="20"/>
          <w:lang w:eastAsia="en-US"/>
        </w:rPr>
        <w:t>а</w:t>
      </w:r>
      <w:r w:rsidRPr="00F45AC3">
        <w:rPr>
          <w:rFonts w:ascii="Verdana" w:eastAsiaTheme="minorHAnsi" w:hAnsi="Verdana" w:cs="Times New Roman"/>
          <w:sz w:val="20"/>
          <w:szCs w:val="20"/>
          <w:lang w:eastAsia="en-US"/>
        </w:rPr>
        <w:t xml:space="preserve"> </w:t>
      </w:r>
      <w:r w:rsidRPr="00F45AC3">
        <w:rPr>
          <w:rFonts w:ascii="Verdana" w:hAnsi="Verdana" w:cs="Times New Roman"/>
          <w:sz w:val="20"/>
          <w:szCs w:val="20"/>
        </w:rPr>
        <w:t>деятельности  МУП «Банно-Оздоровительный Комплекс МОГО «Ухта» по вопросу перечисления в бюджет МОГО «Ухта» части прибыли, остающейся в распоряжении муниципального унитарного предприятия после уплаты налогов, сборов и иных обязательных платежей, за период  2022-2023 годов»</w:t>
      </w:r>
      <w:r>
        <w:rPr>
          <w:rFonts w:ascii="Verdana" w:hAnsi="Verdana" w:cs="Times New Roman"/>
          <w:sz w:val="20"/>
          <w:szCs w:val="20"/>
        </w:rPr>
        <w:t>.</w:t>
      </w:r>
    </w:p>
    <w:p w:rsidR="007E2D84" w:rsidRPr="00F45AC3" w:rsidRDefault="00F45AC3" w:rsidP="009E484C">
      <w:pPr>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В</w:t>
      </w:r>
      <w:r w:rsidR="007E2D84" w:rsidRPr="00F45AC3">
        <w:rPr>
          <w:rFonts w:ascii="Verdana" w:eastAsia="Times New Roman" w:hAnsi="Verdana" w:cs="Times New Roman"/>
          <w:sz w:val="20"/>
          <w:szCs w:val="20"/>
        </w:rPr>
        <w:t xml:space="preserve"> проверяемом периоде Предприятие осуществляло деятельность, направленную на реализацию и достижение целей, для которых оно было создано,  а именно: бытового обслуживания населения, в целях удовлетворения общественных потребностей населения в результатах его де</w:t>
      </w:r>
      <w:r w:rsidR="00887F32">
        <w:rPr>
          <w:rFonts w:ascii="Verdana" w:eastAsia="Times New Roman" w:hAnsi="Verdana" w:cs="Times New Roman"/>
          <w:sz w:val="20"/>
          <w:szCs w:val="20"/>
        </w:rPr>
        <w:t>ятельности и получения прибыли.</w:t>
      </w:r>
    </w:p>
    <w:p w:rsidR="007B1EE1" w:rsidRPr="00F45AC3" w:rsidRDefault="007B1EE1" w:rsidP="009E484C">
      <w:pPr>
        <w:tabs>
          <w:tab w:val="left" w:pos="720"/>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Общий объем финансирования деятельности Предприятия в период 2022-2023 годов составил в сумме 102 765,0 тыс. рублей, в том числе: собственные средства - 98 504,0 тыс. рублей (или 95,9%), средства бюджета МОГО «Ухта» (субсидии) - 4 261,0 тыс. рублей (или 4,1%). При этом, наблюдается увеличение общего объема финансирования деятельности МУП «БОК» в 2023 году (54 776,0 тыс. рублей) относительно аналогичного показателя  2022 года (47 989,0 тыс. рублей) на 14,1 % (6 787,0 тыс. рублей), обусловленное увеличением объема собственных средств (доходов) с 45 092,0 тыс. рублей до 53 412,0 тыс. рублей  или на 18,5 % (8 320,0 тыс. рублей) при  одновременном сокращении объема средств бюджета МОГО «Ухта» (субсидий) с 2 897,0 тыс. рублей до 1 364,0 тыс. рублей или  в  2,1 раза (1 533,0 тыс. рублей).</w:t>
      </w:r>
    </w:p>
    <w:p w:rsidR="007B1EE1" w:rsidRPr="00F45AC3" w:rsidRDefault="007B1EE1" w:rsidP="009E484C">
      <w:pPr>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При увеличении общего объема собственных доходов  Предприятия в 2023 году на 18,5% (или на 8 320,0 тыс. рублей) относительно 2022 года, наблюдается: увеличение  объема собственных доходов Предприятия на общую сумму 8 399,0 тыс. рублей по 8-ми видам деятельности и сокращение  объема собственных доходов Предприятия на общую сумму 79,0 тыс. рублей  по 4-м видам деятельности.</w:t>
      </w:r>
    </w:p>
    <w:p w:rsidR="007B1EE1" w:rsidRPr="00F45AC3" w:rsidRDefault="007B1EE1" w:rsidP="009E484C">
      <w:pPr>
        <w:spacing w:after="0" w:line="240" w:lineRule="auto"/>
        <w:ind w:firstLine="709"/>
        <w:contextualSpacing/>
        <w:jc w:val="both"/>
        <w:rPr>
          <w:rFonts w:ascii="Verdana" w:eastAsia="Calibri" w:hAnsi="Verdana" w:cs="Times New Roman"/>
          <w:sz w:val="20"/>
          <w:szCs w:val="20"/>
          <w:lang w:eastAsia="en-US"/>
        </w:rPr>
      </w:pPr>
      <w:r w:rsidRPr="00F45AC3">
        <w:rPr>
          <w:rFonts w:ascii="Verdana" w:eastAsia="Calibri" w:hAnsi="Verdana" w:cs="Times New Roman"/>
          <w:sz w:val="20"/>
          <w:szCs w:val="20"/>
          <w:lang w:eastAsia="en-US"/>
        </w:rPr>
        <w:t xml:space="preserve">Общий объем средств бюджета МОГО «Ухта» (субсидий), предъявленный МУП «БОК» к возмещению  в рамках 3-х заключенных Соглашений: от 28.01.2022 б/н (в ред. доп. соглашений от 12.12.2022 б/н, от 12.02.2024 б/н), от 09.06.2022  № 01/17-76 (в ред. доп. соглашения от 29.12.2022 № 01/17-77), от 14.04.2023 № 01-17/3 (в ред. доп. соглашения от 01.12.2023 № 01-17/20) и  возмещенный Предприятию составил в сумме 4 260,7 тыс. рублей, при этом наблюдается снижение в 2,1 раза объема субсидии, предоставленной в 2023 году (1 363,5 тыс. рублей) относительно аналогичного показателя 2022 года (2 897,2 тыс. рублей). Объем неосвоенных лимитов бюджетных обязательств в 2023 году составил 326,1 тыс. рублей, </w:t>
      </w:r>
      <w:r w:rsidR="00B852FF" w:rsidRPr="00F45AC3">
        <w:rPr>
          <w:rFonts w:ascii="Verdana" w:eastAsia="Calibri" w:hAnsi="Verdana" w:cs="Times New Roman"/>
          <w:sz w:val="20"/>
          <w:szCs w:val="20"/>
          <w:lang w:eastAsia="en-US"/>
        </w:rPr>
        <w:t xml:space="preserve">в связи с </w:t>
      </w:r>
      <w:r w:rsidRPr="00F45AC3">
        <w:rPr>
          <w:rFonts w:ascii="Verdana" w:eastAsia="Calibri" w:hAnsi="Verdana" w:cs="Times New Roman"/>
          <w:sz w:val="20"/>
          <w:szCs w:val="20"/>
          <w:lang w:eastAsia="en-US"/>
        </w:rPr>
        <w:t xml:space="preserve"> предоставлением субсидии по фактически сложившемуся количеству посещений (согласно отчетности Предприятия), которое сложилось в объеме меньше планируемого.</w:t>
      </w:r>
    </w:p>
    <w:p w:rsidR="00B852FF" w:rsidRPr="00F45AC3" w:rsidRDefault="00B852FF" w:rsidP="009E484C">
      <w:pPr>
        <w:tabs>
          <w:tab w:val="left" w:pos="0"/>
          <w:tab w:val="left" w:pos="639"/>
          <w:tab w:val="left" w:pos="720"/>
        </w:tabs>
        <w:spacing w:after="0" w:line="240" w:lineRule="auto"/>
        <w:ind w:firstLine="709"/>
        <w:jc w:val="both"/>
        <w:rPr>
          <w:rFonts w:ascii="Verdana" w:eastAsia="Times New Roman" w:hAnsi="Verdana" w:cs="Times New Roman"/>
          <w:iCs/>
          <w:sz w:val="20"/>
          <w:szCs w:val="20"/>
        </w:rPr>
      </w:pPr>
      <w:r w:rsidRPr="00F45AC3">
        <w:rPr>
          <w:rFonts w:ascii="Verdana" w:eastAsia="Times New Roman" w:hAnsi="Verdana" w:cs="Times New Roman"/>
          <w:iCs/>
          <w:sz w:val="20"/>
          <w:szCs w:val="20"/>
        </w:rPr>
        <w:t>В пе</w:t>
      </w:r>
      <w:r w:rsidR="00887F32">
        <w:rPr>
          <w:rFonts w:ascii="Verdana" w:eastAsia="Times New Roman" w:hAnsi="Verdana" w:cs="Times New Roman"/>
          <w:iCs/>
          <w:sz w:val="20"/>
          <w:szCs w:val="20"/>
        </w:rPr>
        <w:t>риод 2022-2023 годов отмечается</w:t>
      </w:r>
      <w:r w:rsidRPr="00F45AC3">
        <w:rPr>
          <w:rFonts w:ascii="Verdana" w:eastAsia="Times New Roman" w:hAnsi="Verdana" w:cs="Times New Roman"/>
          <w:iCs/>
          <w:sz w:val="20"/>
          <w:szCs w:val="20"/>
        </w:rPr>
        <w:t xml:space="preserve"> уменьшение общего количества объектов муниципального имущества, закрепленных за Предприятием на праве хозяйственного ведения с 96-ти до 94-х, и, соответственно, снижение балансовой стоимости с 24 233,6 тыс. рублей         до 24 063,6 тыс. рублей (или на 0,7%), обусловленное</w:t>
      </w:r>
      <w:r w:rsidR="00BE3014">
        <w:rPr>
          <w:rFonts w:ascii="Verdana" w:eastAsia="Times New Roman" w:hAnsi="Verdana" w:cs="Times New Roman"/>
          <w:iCs/>
          <w:sz w:val="20"/>
          <w:szCs w:val="20"/>
        </w:rPr>
        <w:t xml:space="preserve"> </w:t>
      </w:r>
      <w:r w:rsidRPr="00F45AC3">
        <w:rPr>
          <w:rFonts w:ascii="Verdana" w:eastAsia="Times New Roman" w:hAnsi="Verdana" w:cs="Times New Roman"/>
          <w:iCs/>
          <w:sz w:val="20"/>
          <w:szCs w:val="20"/>
        </w:rPr>
        <w:t xml:space="preserve">списанием (в связи  с продажей) 2-х объектов движимого имущества (транспортных средств) общей балансовой стоимостью </w:t>
      </w:r>
      <w:r w:rsidR="005843A9" w:rsidRPr="00F45AC3">
        <w:rPr>
          <w:rFonts w:ascii="Verdana" w:eastAsia="Times New Roman" w:hAnsi="Verdana" w:cs="Times New Roman"/>
          <w:iCs/>
          <w:sz w:val="20"/>
          <w:szCs w:val="20"/>
        </w:rPr>
        <w:t>170,8 тыс. рублей.</w:t>
      </w:r>
    </w:p>
    <w:p w:rsidR="005843A9" w:rsidRPr="00F45AC3" w:rsidRDefault="007B1EE1" w:rsidP="009E484C">
      <w:pPr>
        <w:spacing w:after="0" w:line="240" w:lineRule="auto"/>
        <w:ind w:firstLine="709"/>
        <w:contextualSpacing/>
        <w:jc w:val="both"/>
        <w:rPr>
          <w:rFonts w:ascii="Verdana" w:eastAsia="Times New Roman" w:hAnsi="Verdana" w:cs="Times New Roman"/>
          <w:sz w:val="20"/>
          <w:szCs w:val="20"/>
        </w:rPr>
      </w:pPr>
      <w:r w:rsidRPr="00F45AC3">
        <w:rPr>
          <w:rFonts w:ascii="Verdana" w:eastAsia="Times New Roman" w:hAnsi="Verdana" w:cs="Times New Roman"/>
          <w:sz w:val="20"/>
          <w:szCs w:val="20"/>
        </w:rPr>
        <w:t>Финансовый результат деятельности Предприятия за период 2022- 2023 годов по данным бухгалтерской отчетности - Отчета о финансовых результатах (форма по ОКУД 0710002) составил убыток в общей сумме 4 976,0 тыс. рублей, в том числе: 2022 год - 1 200,0 тыс. рублей; 2023 год - 3 776,0 тыс. рублей.</w:t>
      </w:r>
    </w:p>
    <w:p w:rsidR="005511B9" w:rsidRPr="00F45AC3" w:rsidRDefault="00AA666B" w:rsidP="009E484C">
      <w:pPr>
        <w:spacing w:after="0" w:line="240" w:lineRule="auto"/>
        <w:ind w:firstLine="709"/>
        <w:contextualSpacing/>
        <w:jc w:val="both"/>
        <w:rPr>
          <w:rFonts w:ascii="Verdana" w:eastAsia="Times New Roman" w:hAnsi="Verdana" w:cs="Times New Roman"/>
          <w:sz w:val="20"/>
          <w:szCs w:val="20"/>
        </w:rPr>
      </w:pPr>
      <w:r w:rsidRPr="00F45AC3">
        <w:rPr>
          <w:rFonts w:ascii="Verdana" w:eastAsia="Times New Roman" w:hAnsi="Verdana" w:cs="Times New Roman"/>
          <w:sz w:val="20"/>
          <w:szCs w:val="20"/>
        </w:rPr>
        <w:t>Проверкой установлено, что наличие отрицательного финансового результата по итогам финансово-хозяйственной деятельности</w:t>
      </w:r>
      <w:r w:rsidR="00B852FF" w:rsidRPr="00F45AC3">
        <w:rPr>
          <w:rFonts w:ascii="Verdana" w:eastAsia="Times New Roman" w:hAnsi="Verdana" w:cs="Times New Roman"/>
          <w:sz w:val="20"/>
          <w:szCs w:val="20"/>
        </w:rPr>
        <w:t xml:space="preserve"> Предприятия</w:t>
      </w:r>
      <w:r w:rsidR="005511B9" w:rsidRPr="00F45AC3">
        <w:rPr>
          <w:rFonts w:ascii="Verdana" w:eastAsia="Times New Roman" w:hAnsi="Verdana" w:cs="Times New Roman"/>
          <w:sz w:val="20"/>
          <w:szCs w:val="20"/>
        </w:rPr>
        <w:t>:</w:t>
      </w:r>
    </w:p>
    <w:p w:rsidR="00AA666B" w:rsidRPr="00F45AC3" w:rsidRDefault="005511B9" w:rsidP="009E484C">
      <w:pPr>
        <w:tabs>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xml:space="preserve">- </w:t>
      </w:r>
      <w:r w:rsidR="00AA666B" w:rsidRPr="00F45AC3">
        <w:rPr>
          <w:rFonts w:ascii="Verdana" w:eastAsia="Times New Roman" w:hAnsi="Verdana" w:cs="Times New Roman"/>
          <w:sz w:val="20"/>
          <w:szCs w:val="20"/>
        </w:rPr>
        <w:t xml:space="preserve"> в 2022 году (1 200,2 тыс. рублей) обусловлено сложившимся убытком в общей сумме 9 234,5 тыс. рублей по 2-м видам деяте</w:t>
      </w:r>
      <w:r w:rsidR="00BF579F">
        <w:rPr>
          <w:rFonts w:ascii="Verdana" w:eastAsia="Times New Roman" w:hAnsi="Verdana" w:cs="Times New Roman"/>
          <w:sz w:val="20"/>
          <w:szCs w:val="20"/>
        </w:rPr>
        <w:t xml:space="preserve">льности Предприятия, связанным </w:t>
      </w:r>
      <w:r w:rsidR="00AA666B" w:rsidRPr="00F45AC3">
        <w:rPr>
          <w:rFonts w:ascii="Verdana" w:eastAsia="Times New Roman" w:hAnsi="Verdana" w:cs="Times New Roman"/>
          <w:sz w:val="20"/>
          <w:szCs w:val="20"/>
        </w:rPr>
        <w:t>с: оказанием услуг по предоставлению помывочных отделений населению в сумме 8 347,6 тыс. рублей  (в том числе произведен перерасчет заработной платы директора МУП «БОК» с 01.09.2018 по 30.04.2022 по причине наличия счетной ошибки в общей сумме 874,0 тыс. рублей (в том числе, оплата труда и начисления на оплату труда), установленной</w:t>
      </w:r>
      <w:r w:rsidR="00BE3014">
        <w:rPr>
          <w:rFonts w:ascii="Verdana" w:eastAsia="Times New Roman" w:hAnsi="Verdana" w:cs="Times New Roman"/>
          <w:sz w:val="20"/>
          <w:szCs w:val="20"/>
        </w:rPr>
        <w:t xml:space="preserve"> </w:t>
      </w:r>
      <w:r w:rsidR="00AA666B" w:rsidRPr="00F45AC3">
        <w:rPr>
          <w:rFonts w:ascii="Verdana" w:eastAsia="Times New Roman" w:hAnsi="Verdana" w:cs="Times New Roman"/>
          <w:sz w:val="20"/>
          <w:szCs w:val="20"/>
        </w:rPr>
        <w:t xml:space="preserve">отделом </w:t>
      </w:r>
      <w:r w:rsidR="00AA666B" w:rsidRPr="00F45AC3">
        <w:rPr>
          <w:rFonts w:ascii="Verdana" w:eastAsia="Times New Roman" w:hAnsi="Verdana" w:cs="Times New Roman"/>
          <w:sz w:val="20"/>
          <w:szCs w:val="20"/>
        </w:rPr>
        <w:lastRenderedPageBreak/>
        <w:t>контроля Управления экономического развития администрации МОГО «Ухта»</w:t>
      </w:r>
      <w:r w:rsidR="00887F32">
        <w:rPr>
          <w:rFonts w:ascii="Verdana" w:eastAsia="Times New Roman" w:hAnsi="Verdana" w:cs="Times New Roman"/>
          <w:sz w:val="20"/>
          <w:szCs w:val="20"/>
        </w:rPr>
        <w:t xml:space="preserve"> (Акт</w:t>
      </w:r>
      <w:r w:rsidRPr="00F45AC3">
        <w:rPr>
          <w:rFonts w:ascii="Verdana" w:eastAsia="Times New Roman" w:hAnsi="Verdana" w:cs="Times New Roman"/>
          <w:sz w:val="20"/>
          <w:szCs w:val="20"/>
        </w:rPr>
        <w:t xml:space="preserve"> проверки от 06.06.2022 № 2/2022),</w:t>
      </w:r>
      <w:r w:rsidR="00AA666B" w:rsidRPr="00F45AC3">
        <w:rPr>
          <w:rFonts w:ascii="Verdana" w:eastAsia="Times New Roman" w:hAnsi="Verdana" w:cs="Times New Roman"/>
          <w:sz w:val="20"/>
          <w:szCs w:val="20"/>
        </w:rPr>
        <w:t xml:space="preserve"> что привело к незапланированному увеличению расходов);</w:t>
      </w:r>
      <w:r w:rsidR="00BE3014">
        <w:rPr>
          <w:rFonts w:ascii="Verdana" w:eastAsia="Times New Roman" w:hAnsi="Verdana" w:cs="Times New Roman"/>
          <w:sz w:val="20"/>
          <w:szCs w:val="20"/>
        </w:rPr>
        <w:t xml:space="preserve"> </w:t>
      </w:r>
      <w:r w:rsidR="00AA666B" w:rsidRPr="00F45AC3">
        <w:rPr>
          <w:rFonts w:ascii="Verdana" w:eastAsia="Times New Roman" w:hAnsi="Verdana" w:cs="Times New Roman"/>
          <w:sz w:val="20"/>
          <w:szCs w:val="20"/>
        </w:rPr>
        <w:t>предоставлением услуг буфета  в сумме 886,9 тыс. рублей, с одновременным  получением прибыли в общей сумме 8 034,3 тыс. рублей по 2-м видам деятельности:</w:t>
      </w:r>
      <w:r w:rsidR="00BE3014">
        <w:rPr>
          <w:rFonts w:ascii="Verdana" w:eastAsia="Times New Roman" w:hAnsi="Verdana" w:cs="Times New Roman"/>
          <w:sz w:val="20"/>
          <w:szCs w:val="20"/>
        </w:rPr>
        <w:t xml:space="preserve"> </w:t>
      </w:r>
      <w:r w:rsidR="00AA666B" w:rsidRPr="00F45AC3">
        <w:rPr>
          <w:rFonts w:ascii="Verdana" w:eastAsia="Times New Roman" w:hAnsi="Verdana" w:cs="Times New Roman"/>
          <w:sz w:val="20"/>
          <w:szCs w:val="20"/>
        </w:rPr>
        <w:t>предоставление помещений  в аренду в сумме 728,6 тыс. рублей; осуществление розничной торговли в размере 7 305,7 тыс. рублей (т.е. на 13,0% ниже величины сложившегося убытка).</w:t>
      </w:r>
    </w:p>
    <w:p w:rsidR="008759C0" w:rsidRPr="00F45AC3" w:rsidRDefault="005511B9" w:rsidP="009E484C">
      <w:pPr>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в 2023 году</w:t>
      </w:r>
      <w:r w:rsidR="00AA666B" w:rsidRPr="00F45AC3">
        <w:rPr>
          <w:rFonts w:ascii="Verdana" w:eastAsia="Times New Roman" w:hAnsi="Verdana" w:cs="Times New Roman"/>
          <w:sz w:val="20"/>
          <w:szCs w:val="20"/>
        </w:rPr>
        <w:t xml:space="preserve"> (3 776,0 тыс. рублей) относительно итогов 2022 года на 2 576,3 тыс. рублей или в 3,2 раза</w:t>
      </w:r>
      <w:r w:rsidR="00BE3014">
        <w:rPr>
          <w:rFonts w:ascii="Verdana" w:eastAsia="Times New Roman" w:hAnsi="Verdana" w:cs="Times New Roman"/>
          <w:sz w:val="20"/>
          <w:szCs w:val="20"/>
        </w:rPr>
        <w:t xml:space="preserve"> </w:t>
      </w:r>
      <w:r w:rsidR="00AA666B" w:rsidRPr="00F45AC3">
        <w:rPr>
          <w:rFonts w:ascii="Verdana" w:eastAsia="Times New Roman" w:hAnsi="Verdana" w:cs="Times New Roman"/>
          <w:sz w:val="20"/>
          <w:szCs w:val="20"/>
        </w:rPr>
        <w:t xml:space="preserve">обусловлено ростом убытка на общую сумму 4 160,0 тыс. рублей по 2-м видам деятельности Предприятия, связанным с: оказанием услуг </w:t>
      </w:r>
      <w:r w:rsidR="00AA666B" w:rsidRPr="00F45AC3">
        <w:rPr>
          <w:rFonts w:ascii="Verdana" w:eastAsia="Times New Roman" w:hAnsi="Verdana" w:cs="Times New Roman"/>
          <w:iCs/>
          <w:sz w:val="20"/>
          <w:szCs w:val="20"/>
        </w:rPr>
        <w:t>по предоставлению помывочных отделений населению в сумме 3 362,0 тыс. рублей (или на 40,3 % относительно убытка, полученного в 2022 году); предоставлением услуг буфета и кафе, а также наличием затрат, связанных с содержанием гаража в общей сумме 798,0 тыс. рублей (или 90,0 % относительно 2022 года),</w:t>
      </w:r>
      <w:r w:rsidR="00BE3014">
        <w:rPr>
          <w:rFonts w:ascii="Verdana" w:eastAsia="Times New Roman" w:hAnsi="Verdana" w:cs="Times New Roman"/>
          <w:iCs/>
          <w:sz w:val="20"/>
          <w:szCs w:val="20"/>
        </w:rPr>
        <w:t xml:space="preserve"> </w:t>
      </w:r>
      <w:r w:rsidR="00AA666B" w:rsidRPr="00F45AC3">
        <w:rPr>
          <w:rFonts w:ascii="Verdana" w:eastAsia="Times New Roman" w:hAnsi="Verdana" w:cs="Times New Roman"/>
          <w:iCs/>
          <w:sz w:val="20"/>
          <w:szCs w:val="20"/>
        </w:rPr>
        <w:t>при одновременном росте прибыли по 2-м видам деятельности на общую сумму 1 584,0 тыс. рублей, связанной с:</w:t>
      </w:r>
      <w:r w:rsidR="00AA666B" w:rsidRPr="00F45AC3">
        <w:rPr>
          <w:rFonts w:ascii="Verdana" w:eastAsia="Times New Roman" w:hAnsi="Verdana" w:cs="Times New Roman"/>
          <w:sz w:val="20"/>
          <w:szCs w:val="20"/>
        </w:rPr>
        <w:t>предоставлением помещений в аренду в сумме 1 533,0 тыс. рублей или  21,0 %; осуществлением  розничной торговли в сумме 51,0 тыс. рублей или 7,0 %.</w:t>
      </w:r>
    </w:p>
    <w:p w:rsidR="00483348" w:rsidRPr="00F45AC3" w:rsidRDefault="0056271E" w:rsidP="009E484C">
      <w:pPr>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В ходе а</w:t>
      </w:r>
      <w:r w:rsidR="00483348" w:rsidRPr="00F45AC3">
        <w:rPr>
          <w:rFonts w:ascii="Verdana" w:eastAsia="Times New Roman" w:hAnsi="Verdana" w:cs="Times New Roman"/>
          <w:sz w:val="20"/>
          <w:szCs w:val="20"/>
        </w:rPr>
        <w:t>нализ</w:t>
      </w:r>
      <w:r w:rsidRPr="00F45AC3">
        <w:rPr>
          <w:rFonts w:ascii="Verdana" w:eastAsia="Times New Roman" w:hAnsi="Verdana" w:cs="Times New Roman"/>
          <w:sz w:val="20"/>
          <w:szCs w:val="20"/>
        </w:rPr>
        <w:t>а</w:t>
      </w:r>
      <w:r w:rsidR="00483348" w:rsidRPr="00F45AC3">
        <w:rPr>
          <w:rFonts w:ascii="Verdana" w:eastAsia="Times New Roman" w:hAnsi="Verdana" w:cs="Times New Roman"/>
          <w:sz w:val="20"/>
          <w:szCs w:val="20"/>
        </w:rPr>
        <w:t xml:space="preserve"> полноты и достоверности состава и учета затрат, включаемых  </w:t>
      </w:r>
      <w:r w:rsidRPr="00F45AC3">
        <w:rPr>
          <w:rFonts w:ascii="Verdana" w:eastAsia="Times New Roman" w:hAnsi="Verdana" w:cs="Times New Roman"/>
          <w:sz w:val="20"/>
          <w:szCs w:val="20"/>
        </w:rPr>
        <w:t>в себестоимость услуг установлено</w:t>
      </w:r>
      <w:r w:rsidR="00483348" w:rsidRPr="00F45AC3">
        <w:rPr>
          <w:rFonts w:ascii="Verdana" w:eastAsia="Times New Roman" w:hAnsi="Verdana" w:cs="Times New Roman"/>
          <w:sz w:val="20"/>
          <w:szCs w:val="20"/>
        </w:rPr>
        <w:t>, что  себестоимость продаж на 31.12.2023 (47 102 тыс. рублей) увеличилась в целом на 17 418,0 тыс. рублей (или на 58,7 %) по отношению к аналогичному показателю предыдущего финансового года (на 31.12.2022), составивше</w:t>
      </w:r>
      <w:r w:rsidRPr="00F45AC3">
        <w:rPr>
          <w:rFonts w:ascii="Verdana" w:eastAsia="Times New Roman" w:hAnsi="Verdana" w:cs="Times New Roman"/>
          <w:sz w:val="20"/>
          <w:szCs w:val="20"/>
        </w:rPr>
        <w:t>му в сумме 29 684,0 тыс. рублей.</w:t>
      </w:r>
    </w:p>
    <w:p w:rsidR="0056271E" w:rsidRPr="00F45AC3" w:rsidRDefault="0056271E"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В</w:t>
      </w:r>
      <w:r w:rsidR="00483348" w:rsidRPr="00F45AC3">
        <w:rPr>
          <w:rFonts w:ascii="Verdana" w:eastAsia="Times New Roman" w:hAnsi="Verdana" w:cs="Times New Roman"/>
          <w:sz w:val="20"/>
          <w:szCs w:val="20"/>
        </w:rPr>
        <w:t xml:space="preserve"> результате анализа полноты и достоверности состава и учета затрат, включаемых в себестоимость продаж (услуг), проверкой установлен факт необоснованного уменьшения Предприятием доходов на общую сумму расходов, составившую 175,5  тыс. рублей, в том числе: 2022 год -   73,6 тыс. рублей, 2023 год - 101,9  тыс. рублей</w:t>
      </w:r>
      <w:r w:rsidRPr="00F45AC3">
        <w:rPr>
          <w:rFonts w:ascii="Verdana" w:eastAsia="Times New Roman" w:hAnsi="Verdana" w:cs="Times New Roman"/>
          <w:sz w:val="20"/>
          <w:szCs w:val="20"/>
        </w:rPr>
        <w:t xml:space="preserve">. </w:t>
      </w:r>
    </w:p>
    <w:p w:rsidR="008759C0" w:rsidRPr="00F45AC3" w:rsidRDefault="00483348" w:rsidP="009E484C">
      <w:pPr>
        <w:tabs>
          <w:tab w:val="right" w:pos="0"/>
          <w:tab w:val="left" w:pos="709"/>
        </w:tabs>
        <w:spacing w:after="0" w:line="240" w:lineRule="auto"/>
        <w:ind w:firstLine="709"/>
        <w:jc w:val="both"/>
        <w:rPr>
          <w:rFonts w:ascii="Verdana" w:eastAsia="Times New Roman" w:hAnsi="Verdana" w:cs="Times New Roman"/>
          <w:bCs/>
          <w:sz w:val="20"/>
          <w:szCs w:val="20"/>
        </w:rPr>
      </w:pPr>
      <w:r w:rsidRPr="00F45AC3">
        <w:rPr>
          <w:rFonts w:ascii="Verdana" w:eastAsia="Times New Roman" w:hAnsi="Verdana" w:cs="Times New Roman"/>
          <w:bCs/>
          <w:sz w:val="20"/>
          <w:szCs w:val="20"/>
        </w:rPr>
        <w:t>Анализ ликвидности, платежеспособности и финансовой устойчивости Предприяти</w:t>
      </w:r>
      <w:r w:rsidR="0056271E" w:rsidRPr="00F45AC3">
        <w:rPr>
          <w:rFonts w:ascii="Verdana" w:eastAsia="Times New Roman" w:hAnsi="Verdana" w:cs="Times New Roman"/>
          <w:bCs/>
          <w:sz w:val="20"/>
          <w:szCs w:val="20"/>
        </w:rPr>
        <w:t xml:space="preserve">я в проверяемом периоде показал: </w:t>
      </w:r>
    </w:p>
    <w:p w:rsidR="00483348" w:rsidRPr="00F45AC3" w:rsidRDefault="008759C0"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bCs/>
          <w:sz w:val="20"/>
          <w:szCs w:val="20"/>
        </w:rPr>
        <w:t xml:space="preserve">- </w:t>
      </w:r>
      <w:r w:rsidR="00483348" w:rsidRPr="00F45AC3">
        <w:rPr>
          <w:rFonts w:ascii="Verdana" w:eastAsia="Times New Roman" w:hAnsi="Verdana" w:cs="Times New Roman"/>
          <w:bCs/>
          <w:sz w:val="20"/>
          <w:szCs w:val="20"/>
        </w:rPr>
        <w:t>наличие низкой степени обеспеченности Предприятия собственными средствами для ведения хозяйственной деятельности и своевременного погашения обязательств (коэффициент по итогу 2023 года составляет 0,56, что ниже допустимого уровня  (1 единица));</w:t>
      </w:r>
    </w:p>
    <w:p w:rsidR="00483348" w:rsidRPr="00F45AC3" w:rsidRDefault="00483348" w:rsidP="009E484C">
      <w:pPr>
        <w:tabs>
          <w:tab w:val="left" w:pos="709"/>
        </w:tabs>
        <w:spacing w:after="0" w:line="240" w:lineRule="auto"/>
        <w:ind w:firstLine="709"/>
        <w:jc w:val="both"/>
        <w:rPr>
          <w:rFonts w:ascii="Verdana" w:eastAsia="Times New Roman" w:hAnsi="Verdana" w:cs="Times New Roman"/>
          <w:bCs/>
          <w:sz w:val="20"/>
          <w:szCs w:val="20"/>
        </w:rPr>
      </w:pPr>
      <w:r w:rsidRPr="00F45AC3">
        <w:rPr>
          <w:rFonts w:ascii="Verdana" w:eastAsia="Times New Roman" w:hAnsi="Verdana" w:cs="Times New Roman"/>
          <w:bCs/>
          <w:sz w:val="20"/>
          <w:szCs w:val="20"/>
        </w:rPr>
        <w:t>- низкую ликвидность, что свидетельствует об отсутствии возможности у Предприятия погасить краткосрочные обязательства за счет своих средств (коэффициент на 31.12.2022 составил 0,14 единицы, на 31.12.2023 составил 0,12 единицы);</w:t>
      </w:r>
    </w:p>
    <w:p w:rsidR="00483348" w:rsidRPr="00F45AC3" w:rsidRDefault="00483348" w:rsidP="009E484C">
      <w:pPr>
        <w:tabs>
          <w:tab w:val="left" w:pos="709"/>
        </w:tabs>
        <w:spacing w:after="0" w:line="240" w:lineRule="auto"/>
        <w:ind w:firstLine="709"/>
        <w:jc w:val="both"/>
        <w:rPr>
          <w:rFonts w:ascii="Verdana" w:eastAsia="Times New Roman" w:hAnsi="Verdana" w:cs="Times New Roman"/>
          <w:bCs/>
          <w:sz w:val="20"/>
          <w:szCs w:val="20"/>
        </w:rPr>
      </w:pPr>
      <w:r w:rsidRPr="00F45AC3">
        <w:rPr>
          <w:rFonts w:ascii="Verdana" w:eastAsia="Times New Roman" w:hAnsi="Verdana" w:cs="Times New Roman"/>
          <w:bCs/>
          <w:sz w:val="20"/>
          <w:szCs w:val="20"/>
        </w:rPr>
        <w:t>- отрицательное значение коэффициента обеспеченности собственными средствами по состоянию на 31.12.2023, что свидетельствует об отсутствии у Предприятия достаточного количества собственных оборотных средств для покрытия текущих обязательств перед кредиторами (коэффициент на 31.12.2022 составил 0,06,  по состоянию на 31.12.2023 «-» 0,8 единицы);</w:t>
      </w:r>
    </w:p>
    <w:p w:rsidR="00483348" w:rsidRPr="00F45AC3" w:rsidRDefault="00483348" w:rsidP="009E484C">
      <w:pPr>
        <w:tabs>
          <w:tab w:val="left" w:pos="709"/>
        </w:tabs>
        <w:spacing w:after="0" w:line="240" w:lineRule="auto"/>
        <w:ind w:firstLine="709"/>
        <w:jc w:val="both"/>
        <w:rPr>
          <w:rFonts w:ascii="Verdana" w:eastAsia="Times New Roman" w:hAnsi="Verdana" w:cs="Times New Roman"/>
          <w:bCs/>
          <w:sz w:val="20"/>
          <w:szCs w:val="20"/>
        </w:rPr>
      </w:pPr>
      <w:r w:rsidRPr="00F45AC3">
        <w:rPr>
          <w:rFonts w:ascii="Verdana" w:eastAsia="Times New Roman" w:hAnsi="Verdana" w:cs="Times New Roman"/>
          <w:bCs/>
          <w:sz w:val="20"/>
          <w:szCs w:val="20"/>
        </w:rPr>
        <w:t>- снижение  показателя финансовой независимости Предприятия по состоянию на 31.12.2023 на 0,2 единицы по отношению к аналогичному периоду прошлого года (0,82 ед.), составившему 0,62 единицы, что выше порогового значения, равного 0,6 единицы, и свидетельствует об отсутствии заемных средств, т.е. дополнительного финансирования и, как следствие, недополучение прибыли в силу малой окупаемости собственных средств.</w:t>
      </w:r>
    </w:p>
    <w:p w:rsidR="00483348" w:rsidRPr="00F45AC3" w:rsidRDefault="008759C0" w:rsidP="009E484C">
      <w:pPr>
        <w:tabs>
          <w:tab w:val="right" w:pos="0"/>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xml:space="preserve">Итоги </w:t>
      </w:r>
      <w:r w:rsidR="00483348" w:rsidRPr="00F45AC3">
        <w:rPr>
          <w:rFonts w:ascii="Verdana" w:eastAsia="Times New Roman" w:hAnsi="Verdana" w:cs="Times New Roman"/>
          <w:sz w:val="20"/>
          <w:szCs w:val="20"/>
        </w:rPr>
        <w:t>анализа доходности финансово-хозяйственной деят</w:t>
      </w:r>
      <w:r w:rsidRPr="00F45AC3">
        <w:rPr>
          <w:rFonts w:ascii="Verdana" w:eastAsia="Times New Roman" w:hAnsi="Verdana" w:cs="Times New Roman"/>
          <w:sz w:val="20"/>
          <w:szCs w:val="20"/>
        </w:rPr>
        <w:t>ельности Предприятия  показали</w:t>
      </w:r>
      <w:r w:rsidR="00483348" w:rsidRPr="00F45AC3">
        <w:rPr>
          <w:rFonts w:ascii="Verdana" w:eastAsia="Times New Roman" w:hAnsi="Verdana" w:cs="Times New Roman"/>
          <w:sz w:val="20"/>
          <w:szCs w:val="20"/>
        </w:rPr>
        <w:t>, что в 2023 году доходы предприятия увеличились на 6 787,0 тыс. рублей при одновременном росте расходной части на 9 363,0 тыс. рублей, что привело к образованию убытка по итогам отчетного 2023 года в сумме  3 776,0 тыс. рублей, что больше аналогичного показателя прошлого периода (2022 год) на 2 576,0 тыс. рублей или в 3,1 раза.</w:t>
      </w:r>
    </w:p>
    <w:p w:rsidR="00483348" w:rsidRPr="00F45AC3" w:rsidRDefault="00483348"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В ходе анализа дебиторской и кредиторской задолженности Предприятия  в проверяемом периоде установлено, что:</w:t>
      </w:r>
    </w:p>
    <w:p w:rsidR="00483348" w:rsidRPr="00F45AC3" w:rsidRDefault="00483348"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объем дебиторской задолженности увеличился на 21,7% (с 990,0 тыс. рублей на 31.12.2022 до 1 205,0 тыс. рублей на 31.12.2023) или на 215,0 тыс. рублей (доля дебиторской задолженности в общей величине активов Предприятия увеличилась в 1,2 раза  и составляет 6,2% от валюты баланса);</w:t>
      </w:r>
    </w:p>
    <w:p w:rsidR="00483348" w:rsidRPr="00F45AC3" w:rsidRDefault="00483348"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величина просроченной дебиторской задолженности по состоянию  на 31.12.2022  и 31.12.2023 сложилась  в сумме 868,0 тыс. рублей;</w:t>
      </w:r>
    </w:p>
    <w:p w:rsidR="00483348" w:rsidRPr="00F45AC3" w:rsidRDefault="00483348"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lastRenderedPageBreak/>
        <w:t xml:space="preserve"> - размер кредиторской задолженности увеличился на 66,1 % (с 2 150,0 тыс. рублей  до 3 571,0 тыс. рублей)  или на  1 421,0 тыс. рублей (доля кредиторской задолженности  в общей величине активов Предприятия  увеличилась  в 1,7 раза  и составляет 18,4 % от валюты баланса);</w:t>
      </w:r>
    </w:p>
    <w:p w:rsidR="008759C0" w:rsidRPr="00F45AC3" w:rsidRDefault="00483348" w:rsidP="009E484C">
      <w:pPr>
        <w:tabs>
          <w:tab w:val="right" w:pos="0"/>
          <w:tab w:val="left" w:pos="709"/>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xml:space="preserve"> - величина покрытия дебиторской задолженностью текущей кредиторской задолженности Предприятия по состоянию на 31.12.2023 (коэффициент соотношения ДЗ и КЗ - 0,3) снизилась относительно аналогичного показателя 2022 года (коэффициент соотношения ДЗ и КЗ - 0,2), при оптимальной величине коэффициента ДЗ И КЗ, равной единице, оценивается как недостаточная для устойчивости фи</w:t>
      </w:r>
      <w:r w:rsidR="008759C0" w:rsidRPr="00F45AC3">
        <w:rPr>
          <w:rFonts w:ascii="Verdana" w:eastAsia="Times New Roman" w:hAnsi="Verdana" w:cs="Times New Roman"/>
          <w:sz w:val="20"/>
          <w:szCs w:val="20"/>
        </w:rPr>
        <w:t>нансового состояния предприятия.</w:t>
      </w:r>
    </w:p>
    <w:p w:rsidR="008759C0" w:rsidRPr="00F45AC3" w:rsidRDefault="00887F32" w:rsidP="009E484C">
      <w:pPr>
        <w:autoSpaceDE w:val="0"/>
        <w:autoSpaceDN w:val="0"/>
        <w:adjustRightInd w:val="0"/>
        <w:spacing w:after="0" w:line="240" w:lineRule="auto"/>
        <w:ind w:firstLine="709"/>
        <w:jc w:val="both"/>
        <w:rPr>
          <w:rFonts w:ascii="Verdana" w:eastAsia="Times New Roman" w:hAnsi="Verdana" w:cs="Times New Roman"/>
          <w:sz w:val="20"/>
          <w:szCs w:val="20"/>
        </w:rPr>
      </w:pPr>
      <w:r>
        <w:rPr>
          <w:rFonts w:ascii="Verdana" w:eastAsia="Times New Roman" w:hAnsi="Verdana" w:cs="Times New Roman"/>
          <w:sz w:val="20"/>
          <w:szCs w:val="20"/>
        </w:rPr>
        <w:t>Оценкой</w:t>
      </w:r>
      <w:r w:rsidR="008759C0" w:rsidRPr="00F45AC3">
        <w:rPr>
          <w:rFonts w:ascii="Verdana" w:eastAsia="Times New Roman" w:hAnsi="Verdana" w:cs="Times New Roman"/>
          <w:sz w:val="20"/>
          <w:szCs w:val="20"/>
        </w:rPr>
        <w:t xml:space="preserve"> изменения величины чистых активов Предприятия, установлено, что величина уставного фонда Предприятия (1 000,0 тыс. рублей) не превышает стоимость чистых активов Предприятия,  по состоянию на 31.12.2022 (15 768,0 тыс. рублей) и на 31.12.2023    (12 066,0 тыс. рублей), что отвечает требованиям п. 3 ст. 14 Федерального закона № 161-ФЗ, предусматривающего, что размер уставного фонда предприятия с учетом размера его резервного фонда не может превышать стоимость чистых активов предприятия.</w:t>
      </w:r>
    </w:p>
    <w:p w:rsidR="008759C0" w:rsidRPr="00F45AC3" w:rsidRDefault="008759C0" w:rsidP="009E484C">
      <w:pPr>
        <w:autoSpaceDE w:val="0"/>
        <w:autoSpaceDN w:val="0"/>
        <w:adjustRightInd w:val="0"/>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В</w:t>
      </w:r>
      <w:r w:rsidR="00BE3014">
        <w:rPr>
          <w:rFonts w:ascii="Verdana" w:eastAsia="Times New Roman" w:hAnsi="Verdana" w:cs="Times New Roman"/>
          <w:sz w:val="20"/>
          <w:szCs w:val="20"/>
        </w:rPr>
        <w:t xml:space="preserve"> </w:t>
      </w:r>
      <w:r w:rsidR="00B852FF" w:rsidRPr="00F45AC3">
        <w:rPr>
          <w:rFonts w:ascii="Verdana" w:eastAsia="Times New Roman" w:hAnsi="Verdana" w:cs="Times New Roman"/>
          <w:sz w:val="20"/>
          <w:szCs w:val="20"/>
        </w:rPr>
        <w:t>результате</w:t>
      </w:r>
      <w:r w:rsidRPr="00F45AC3">
        <w:rPr>
          <w:rFonts w:ascii="Verdana" w:eastAsia="Times New Roman" w:hAnsi="Verdana" w:cs="Times New Roman"/>
          <w:sz w:val="20"/>
          <w:szCs w:val="20"/>
        </w:rPr>
        <w:t xml:space="preserve"> анализа состава доходов и расходов в разрезе видов деятельности установлено, что по итогам 2023 года относительно показателей 2022 года сложилось увеличение:</w:t>
      </w:r>
    </w:p>
    <w:p w:rsidR="008759C0" w:rsidRPr="00F45AC3" w:rsidRDefault="008759C0" w:rsidP="009E484C">
      <w:pPr>
        <w:tabs>
          <w:tab w:val="right" w:pos="0"/>
          <w:tab w:val="left" w:pos="720"/>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доходов по 6-ти видам деятельности, осуществляемых Предприятием, в общей сумме  6 790,3 тыс. рублей, при одновременном снижении доходов по виду деятельности, связанной с розничной торговлей в пгт. Боровой, в сумме 3,6 тыс. рублей;</w:t>
      </w:r>
    </w:p>
    <w:p w:rsidR="008759C0" w:rsidRPr="00F45AC3" w:rsidRDefault="008759C0" w:rsidP="009E484C">
      <w:pPr>
        <w:tabs>
          <w:tab w:val="right" w:pos="0"/>
          <w:tab w:val="left" w:pos="720"/>
        </w:tabs>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 расходов по 7-ми видам деятельности в общей сумме 9 365,7 тыс. рублей при одновременном снижении затрат по виду деятельности, связанной с розничной торговлей в пгт. Боровой, в сумме 2,7 тыс. рублей.,</w:t>
      </w:r>
    </w:p>
    <w:p w:rsidR="008759C0" w:rsidRPr="00F45AC3" w:rsidRDefault="008759C0" w:rsidP="009E484C">
      <w:pPr>
        <w:spacing w:after="0" w:line="240" w:lineRule="auto"/>
        <w:ind w:firstLine="709"/>
        <w:jc w:val="both"/>
        <w:rPr>
          <w:rFonts w:ascii="Verdana" w:eastAsia="Times New Roman" w:hAnsi="Verdana" w:cs="Times New Roman"/>
          <w:sz w:val="20"/>
          <w:szCs w:val="20"/>
        </w:rPr>
      </w:pPr>
      <w:r w:rsidRPr="00F45AC3">
        <w:rPr>
          <w:rFonts w:ascii="Verdana" w:eastAsia="Times New Roman" w:hAnsi="Verdana" w:cs="Times New Roman"/>
          <w:sz w:val="20"/>
          <w:szCs w:val="20"/>
        </w:rPr>
        <w:t>Оценкой изменения уровня экономически обоснованных цен (тарифов), согласованных распоряжениями администрации МОГО «Ухта» от 24.12.2021 № 230-р и от 07.04.2023 № 81-р, установлено, что в 2023 году экономически обоснованная цена (тариф) утверждена в размере 330 рублей 00 коп., что меньше на 5 рублей 00 коп. (или 1,5 %) тарифа, утвержденного на 2022 год (335 рублей 00 коп), что повлекло уменьшение тарифа на 2023 год и сокращение объемов предоставленной субсидии на возмещение недополученных доходов на 1 540,0 тыс. рублей (или на 53,5 %) при одновременном росте количества посетителей, воспользовавшихся услугами по предоставлению помывочных отделений, на 3 928 ед., составившего 73 321 ед., что на 5,7 %  выше показателя 2022 года (69 393 ед).</w:t>
      </w:r>
    </w:p>
    <w:p w:rsidR="008759C0" w:rsidRPr="00887F32" w:rsidRDefault="008759C0" w:rsidP="009E484C">
      <w:pPr>
        <w:spacing w:after="0" w:line="240" w:lineRule="auto"/>
        <w:ind w:firstLine="709"/>
        <w:jc w:val="both"/>
        <w:rPr>
          <w:rFonts w:ascii="Verdana" w:eastAsia="Times New Roman" w:hAnsi="Verdana" w:cs="Times New Roman"/>
          <w:bCs/>
          <w:iCs/>
          <w:sz w:val="20"/>
          <w:szCs w:val="20"/>
        </w:rPr>
      </w:pPr>
      <w:r w:rsidRPr="00F45AC3">
        <w:rPr>
          <w:rFonts w:ascii="Verdana" w:eastAsia="Times New Roman" w:hAnsi="Verdana" w:cs="Times New Roman"/>
          <w:bCs/>
          <w:iCs/>
          <w:sz w:val="20"/>
          <w:szCs w:val="20"/>
        </w:rPr>
        <w:t>Проверка отмечает, что определение экономически обоснованной цены (тарифов) на услуги населению по предоставлению общих помывочных отделений путем отнесения понесенных Предприятием затрат к размеру площади, на которой оказывается услуга, не обеспечивает покрытия фактически понесенных затрат для осуществления данного вида деятельности, что подтверждается данными оборотных ведомостей по счету 90.01 «Выручка», счету 20 «Основное производство» в корреспонденции со счетом 90.02 «Себестоимость продаж» и счету 91 «Прочие доходы» по видам деятельности.</w:t>
      </w:r>
    </w:p>
    <w:p w:rsidR="00B852FF" w:rsidRDefault="00D61043"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В результате</w:t>
      </w:r>
      <w:r w:rsidR="00B852FF" w:rsidRPr="00F45AC3">
        <w:rPr>
          <w:rFonts w:ascii="Verdana" w:hAnsi="Verdana" w:cs="Times New Roman"/>
          <w:sz w:val="20"/>
          <w:szCs w:val="20"/>
        </w:rPr>
        <w:t xml:space="preserve"> проверки Контрольно-счетной палатой </w:t>
      </w:r>
      <w:r w:rsidR="006333E1">
        <w:rPr>
          <w:rFonts w:ascii="Verdana" w:hAnsi="Verdana" w:cs="Times New Roman"/>
          <w:sz w:val="20"/>
          <w:szCs w:val="20"/>
        </w:rPr>
        <w:t>муниципального округа</w:t>
      </w:r>
      <w:r w:rsidR="00B852FF" w:rsidRPr="00F45AC3">
        <w:rPr>
          <w:rFonts w:ascii="Verdana" w:hAnsi="Verdana" w:cs="Times New Roman"/>
          <w:sz w:val="20"/>
          <w:szCs w:val="20"/>
        </w:rPr>
        <w:t xml:space="preserve"> «Ухта» были выявлены н</w:t>
      </w:r>
      <w:r w:rsidR="00887F32">
        <w:rPr>
          <w:rFonts w:ascii="Verdana" w:hAnsi="Verdana" w:cs="Times New Roman"/>
          <w:sz w:val="20"/>
          <w:szCs w:val="20"/>
        </w:rPr>
        <w:t>арушения, выразившиеся в:</w:t>
      </w:r>
    </w:p>
    <w:p w:rsidR="00BC2D81" w:rsidRDefault="00887F32"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 несоблюдении установленного порядка согласования кандидатуры на должность  главного бухгалтера Предприятия;</w:t>
      </w:r>
    </w:p>
    <w:p w:rsidR="00BC2D81" w:rsidRDefault="00887F32"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 непринятии мер по государственной регистрации 9-ти договоров аренды недвижимого имущества, являющегося муници</w:t>
      </w:r>
      <w:r w:rsidR="00E07AFF">
        <w:rPr>
          <w:rFonts w:ascii="Verdana" w:hAnsi="Verdana" w:cs="Times New Roman"/>
          <w:sz w:val="20"/>
          <w:szCs w:val="20"/>
        </w:rPr>
        <w:t>п</w:t>
      </w:r>
      <w:r>
        <w:rPr>
          <w:rFonts w:ascii="Verdana" w:hAnsi="Verdana" w:cs="Times New Roman"/>
          <w:sz w:val="20"/>
          <w:szCs w:val="20"/>
        </w:rPr>
        <w:t xml:space="preserve">альной собственностью </w:t>
      </w:r>
      <w:r w:rsidR="00BC2D81" w:rsidRPr="00887F32">
        <w:rPr>
          <w:rFonts w:ascii="Verdana" w:hAnsi="Verdana" w:cs="Times New Roman"/>
          <w:sz w:val="20"/>
          <w:szCs w:val="20"/>
        </w:rPr>
        <w:t>(по состоянию на 01.05.</w:t>
      </w:r>
      <w:r>
        <w:rPr>
          <w:rFonts w:ascii="Verdana" w:hAnsi="Verdana" w:cs="Times New Roman"/>
          <w:sz w:val="20"/>
          <w:szCs w:val="20"/>
        </w:rPr>
        <w:t>2024  действуют 6-ть договоров);</w:t>
      </w:r>
    </w:p>
    <w:p w:rsidR="00BC2D81" w:rsidRDefault="00887F32" w:rsidP="009E484C">
      <w:pPr>
        <w:tabs>
          <w:tab w:val="left" w:pos="1125"/>
        </w:tabs>
        <w:spacing w:after="0" w:line="240" w:lineRule="auto"/>
        <w:ind w:firstLine="709"/>
        <w:jc w:val="both"/>
        <w:rPr>
          <w:rFonts w:ascii="Verdana" w:hAnsi="Verdana" w:cs="Times New Roman"/>
          <w:iCs/>
          <w:sz w:val="20"/>
          <w:szCs w:val="20"/>
        </w:rPr>
      </w:pPr>
      <w:r>
        <w:rPr>
          <w:rFonts w:ascii="Verdana" w:hAnsi="Verdana" w:cs="Times New Roman"/>
          <w:sz w:val="20"/>
          <w:szCs w:val="20"/>
        </w:rPr>
        <w:t>- использовании</w:t>
      </w:r>
      <w:r w:rsidR="00BE3014">
        <w:rPr>
          <w:rFonts w:ascii="Verdana" w:hAnsi="Verdana" w:cs="Times New Roman"/>
          <w:sz w:val="20"/>
          <w:szCs w:val="20"/>
        </w:rPr>
        <w:t xml:space="preserve"> </w:t>
      </w:r>
      <w:r>
        <w:rPr>
          <w:rFonts w:ascii="Verdana" w:hAnsi="Verdana" w:cs="Times New Roman"/>
          <w:iCs/>
          <w:sz w:val="20"/>
          <w:szCs w:val="20"/>
        </w:rPr>
        <w:t xml:space="preserve">в 2-х случаях арендаторами помещений </w:t>
      </w:r>
      <w:r w:rsidR="00BC2D81" w:rsidRPr="00887F32">
        <w:rPr>
          <w:rFonts w:ascii="Verdana" w:hAnsi="Verdana" w:cs="Times New Roman"/>
          <w:iCs/>
          <w:sz w:val="20"/>
          <w:szCs w:val="20"/>
        </w:rPr>
        <w:t xml:space="preserve">не </w:t>
      </w:r>
      <w:r>
        <w:rPr>
          <w:rFonts w:ascii="Verdana" w:hAnsi="Verdana" w:cs="Times New Roman"/>
          <w:iCs/>
          <w:sz w:val="20"/>
          <w:szCs w:val="20"/>
        </w:rPr>
        <w:t xml:space="preserve">в </w:t>
      </w:r>
      <w:r w:rsidR="00BC2D81" w:rsidRPr="00887F32">
        <w:rPr>
          <w:rFonts w:ascii="Verdana" w:hAnsi="Verdana" w:cs="Times New Roman"/>
          <w:iCs/>
          <w:sz w:val="20"/>
          <w:szCs w:val="20"/>
        </w:rPr>
        <w:t>п</w:t>
      </w:r>
      <w:r w:rsidR="00961520" w:rsidRPr="00887F32">
        <w:rPr>
          <w:rFonts w:ascii="Verdana" w:hAnsi="Verdana" w:cs="Times New Roman"/>
          <w:iCs/>
          <w:sz w:val="20"/>
          <w:szCs w:val="20"/>
        </w:rPr>
        <w:t>олном соответствии с назначение</w:t>
      </w:r>
      <w:r>
        <w:rPr>
          <w:rFonts w:ascii="Verdana" w:hAnsi="Verdana" w:cs="Times New Roman"/>
          <w:iCs/>
          <w:sz w:val="20"/>
          <w:szCs w:val="20"/>
        </w:rPr>
        <w:t>м, указанным в договорах аренды;</w:t>
      </w:r>
    </w:p>
    <w:p w:rsidR="00BC2D81" w:rsidRDefault="00887F32"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iCs/>
          <w:sz w:val="20"/>
          <w:szCs w:val="20"/>
        </w:rPr>
        <w:t>- несоответствии</w:t>
      </w:r>
      <w:r w:rsidR="00BE3014">
        <w:rPr>
          <w:rFonts w:ascii="Verdana" w:hAnsi="Verdana" w:cs="Times New Roman"/>
          <w:iCs/>
          <w:sz w:val="20"/>
          <w:szCs w:val="20"/>
        </w:rPr>
        <w:t xml:space="preserve"> </w:t>
      </w:r>
      <w:r w:rsidR="00BC2D81" w:rsidRPr="00887F32">
        <w:rPr>
          <w:rFonts w:ascii="Verdana" w:hAnsi="Verdana" w:cs="Times New Roman"/>
          <w:sz w:val="20"/>
          <w:szCs w:val="20"/>
        </w:rPr>
        <w:t>номеров нежилых помещений, отраженных в 5-ти договорах аренды недвижимого имущества (площадь соо</w:t>
      </w:r>
      <w:r w:rsidR="00BF579F">
        <w:rPr>
          <w:rFonts w:ascii="Verdana" w:hAnsi="Verdana" w:cs="Times New Roman"/>
          <w:sz w:val="20"/>
          <w:szCs w:val="20"/>
        </w:rPr>
        <w:t>тветствует), номерам, указанным</w:t>
      </w:r>
      <w:r w:rsidR="00BE3014">
        <w:rPr>
          <w:rFonts w:ascii="Verdana" w:hAnsi="Verdana" w:cs="Times New Roman"/>
          <w:sz w:val="20"/>
          <w:szCs w:val="20"/>
        </w:rPr>
        <w:t xml:space="preserve"> </w:t>
      </w:r>
      <w:r w:rsidR="00BC2D81" w:rsidRPr="00887F32">
        <w:rPr>
          <w:rFonts w:ascii="Verdana" w:hAnsi="Verdana" w:cs="Times New Roman"/>
          <w:sz w:val="20"/>
          <w:szCs w:val="20"/>
        </w:rPr>
        <w:t>в техническом паспорте здания</w:t>
      </w:r>
      <w:r>
        <w:rPr>
          <w:rFonts w:ascii="Verdana" w:hAnsi="Verdana" w:cs="Times New Roman"/>
          <w:sz w:val="20"/>
          <w:szCs w:val="20"/>
        </w:rPr>
        <w:t xml:space="preserve"> Предприятия</w:t>
      </w:r>
      <w:r w:rsidR="00BC2D81" w:rsidRPr="00887F32">
        <w:rPr>
          <w:rFonts w:ascii="Verdana" w:hAnsi="Verdana" w:cs="Times New Roman"/>
          <w:sz w:val="20"/>
          <w:szCs w:val="20"/>
        </w:rPr>
        <w:t xml:space="preserve">, </w:t>
      </w:r>
      <w:r>
        <w:rPr>
          <w:rFonts w:ascii="Verdana" w:hAnsi="Verdana" w:cs="Times New Roman"/>
          <w:sz w:val="20"/>
          <w:szCs w:val="20"/>
        </w:rPr>
        <w:t>составленном по состоянию на 04.04.2022;</w:t>
      </w:r>
    </w:p>
    <w:p w:rsidR="00BC2D81" w:rsidRDefault="00887F32" w:rsidP="009E484C">
      <w:pPr>
        <w:tabs>
          <w:tab w:val="left" w:pos="1125"/>
        </w:tabs>
        <w:spacing w:after="0" w:line="240" w:lineRule="auto"/>
        <w:ind w:firstLine="709"/>
        <w:jc w:val="both"/>
        <w:rPr>
          <w:rStyle w:val="FontStyle21"/>
          <w:rFonts w:ascii="Verdana" w:hAnsi="Verdana" w:cs="Times New Roman"/>
          <w:sz w:val="20"/>
          <w:szCs w:val="20"/>
        </w:rPr>
      </w:pPr>
      <w:r>
        <w:rPr>
          <w:rFonts w:ascii="Verdana" w:hAnsi="Verdana" w:cs="Times New Roman"/>
          <w:sz w:val="20"/>
          <w:szCs w:val="20"/>
        </w:rPr>
        <w:t xml:space="preserve">-  </w:t>
      </w:r>
      <w:r>
        <w:rPr>
          <w:rStyle w:val="FontStyle21"/>
          <w:rFonts w:ascii="Verdana" w:hAnsi="Verdana" w:cs="Times New Roman"/>
          <w:sz w:val="20"/>
          <w:szCs w:val="20"/>
        </w:rPr>
        <w:t>использовании арендатором</w:t>
      </w:r>
      <w:r w:rsidR="00BC2D81" w:rsidRPr="00887F32">
        <w:rPr>
          <w:rStyle w:val="FontStyle21"/>
          <w:rFonts w:ascii="Verdana" w:hAnsi="Verdana" w:cs="Times New Roman"/>
          <w:sz w:val="20"/>
          <w:szCs w:val="20"/>
        </w:rPr>
        <w:t xml:space="preserve"> недвижимого имущества - нежилого помещения № 6 (на поэтажном плане) площадью 37,0  кв.м. расположенного  по адресу: Республика Коми, г. Ухта, пгт. </w:t>
      </w:r>
      <w:r>
        <w:rPr>
          <w:rStyle w:val="FontStyle21"/>
          <w:rFonts w:ascii="Verdana" w:hAnsi="Verdana" w:cs="Times New Roman"/>
          <w:sz w:val="20"/>
          <w:szCs w:val="20"/>
        </w:rPr>
        <w:t xml:space="preserve">Боровой, ул. Рабочая, д.15А. </w:t>
      </w:r>
      <w:r w:rsidR="00BC2D81" w:rsidRPr="00887F32">
        <w:rPr>
          <w:rStyle w:val="FontStyle21"/>
          <w:rFonts w:ascii="Verdana" w:hAnsi="Verdana" w:cs="Times New Roman"/>
          <w:sz w:val="20"/>
          <w:szCs w:val="20"/>
        </w:rPr>
        <w:t xml:space="preserve">в отсутствие правоустанавливающих документов и оплаты за фактическое пользование им, что повлекло неосновательное </w:t>
      </w:r>
      <w:r w:rsidR="00BC2D81" w:rsidRPr="00887F32">
        <w:rPr>
          <w:rStyle w:val="FontStyle21"/>
          <w:rFonts w:ascii="Verdana" w:hAnsi="Verdana" w:cs="Times New Roman"/>
          <w:sz w:val="20"/>
          <w:szCs w:val="20"/>
        </w:rPr>
        <w:lastRenderedPageBreak/>
        <w:t>обогащение  (по состоянию на 23.04.2024), и, соответственно недополученный доход (упущенную выгоду) Предприятия, в общей сумме 55,7 тыс. рублей (в том числе: неосновательное обогащение - 44,3 тыс. рублей (44 304,36 рублей), проценты за пользование чужими денежными средствами - 11,4</w:t>
      </w:r>
      <w:r>
        <w:rPr>
          <w:rStyle w:val="FontStyle21"/>
          <w:rFonts w:ascii="Verdana" w:hAnsi="Verdana" w:cs="Times New Roman"/>
          <w:sz w:val="20"/>
          <w:szCs w:val="20"/>
        </w:rPr>
        <w:t xml:space="preserve"> тыс. рублей (11 413,16 рублей);</w:t>
      </w:r>
    </w:p>
    <w:p w:rsidR="00BC2D81" w:rsidRDefault="00BF579F" w:rsidP="009E484C">
      <w:pPr>
        <w:tabs>
          <w:tab w:val="left" w:pos="1125"/>
        </w:tabs>
        <w:spacing w:after="0" w:line="240" w:lineRule="auto"/>
        <w:ind w:firstLine="709"/>
        <w:jc w:val="both"/>
        <w:rPr>
          <w:rFonts w:ascii="Verdana" w:hAnsi="Verdana" w:cs="Times New Roman"/>
          <w:sz w:val="20"/>
          <w:szCs w:val="20"/>
        </w:rPr>
      </w:pPr>
      <w:r>
        <w:rPr>
          <w:rStyle w:val="FontStyle21"/>
          <w:rFonts w:ascii="Verdana" w:hAnsi="Verdana" w:cs="Times New Roman"/>
          <w:sz w:val="20"/>
          <w:szCs w:val="20"/>
        </w:rPr>
        <w:t xml:space="preserve">- </w:t>
      </w:r>
      <w:r w:rsidR="00887F32">
        <w:rPr>
          <w:rFonts w:ascii="Verdana" w:hAnsi="Verdana" w:cs="Times New Roman"/>
          <w:sz w:val="20"/>
          <w:szCs w:val="20"/>
        </w:rPr>
        <w:t>непринятии</w:t>
      </w:r>
      <w:r w:rsidR="00BC2D81" w:rsidRPr="00887F32">
        <w:rPr>
          <w:rFonts w:ascii="Verdana" w:hAnsi="Verdana" w:cs="Times New Roman"/>
          <w:sz w:val="20"/>
          <w:szCs w:val="20"/>
        </w:rPr>
        <w:t xml:space="preserve"> Предприятием в течение длительного периода времени (составляющего более 6-ти месяцев), </w:t>
      </w:r>
      <w:r w:rsidR="00887F32">
        <w:rPr>
          <w:rFonts w:ascii="Verdana" w:hAnsi="Verdana" w:cs="Times New Roman"/>
          <w:sz w:val="20"/>
          <w:szCs w:val="20"/>
        </w:rPr>
        <w:t>мер по взысканию с арендатора</w:t>
      </w:r>
      <w:r w:rsidR="00BC2D81" w:rsidRPr="00887F32">
        <w:rPr>
          <w:rFonts w:ascii="Verdana" w:hAnsi="Verdana" w:cs="Times New Roman"/>
          <w:sz w:val="20"/>
          <w:szCs w:val="20"/>
        </w:rPr>
        <w:t xml:space="preserve"> образовавшейся задолженности по договору  на аренду торговой точки (павильона) от 08.12.2022 № 08/2022 в сумме 7,3 тыс. рублей, повлекший недополучение доходов (упущенную выгоду), в связи с неприменением Предприятием мер ответственности, предусмотренных п.п.6.1., 6.2. Договора (по состоянию на 15.05.2024) в сумме 8,</w:t>
      </w:r>
      <w:r w:rsidR="00887F32">
        <w:rPr>
          <w:rFonts w:ascii="Verdana" w:hAnsi="Verdana" w:cs="Times New Roman"/>
          <w:sz w:val="20"/>
          <w:szCs w:val="20"/>
        </w:rPr>
        <w:t>7 тыс. рублей (8 736,98 рублей);</w:t>
      </w:r>
    </w:p>
    <w:p w:rsidR="00BC2D81" w:rsidRPr="00887F32" w:rsidRDefault="00887F32"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 п</w:t>
      </w:r>
      <w:r w:rsidR="00BC2D81" w:rsidRPr="00887F32">
        <w:rPr>
          <w:rStyle w:val="FontStyle21"/>
          <w:rFonts w:ascii="Verdana" w:hAnsi="Verdana" w:cs="Times New Roman"/>
          <w:sz w:val="20"/>
          <w:szCs w:val="20"/>
        </w:rPr>
        <w:t>роверкой исполнения обязательств в рамках договора от</w:t>
      </w:r>
      <w:r w:rsidR="005843A9" w:rsidRPr="00887F32">
        <w:rPr>
          <w:rStyle w:val="FontStyle21"/>
          <w:rFonts w:ascii="Verdana" w:hAnsi="Verdana" w:cs="Times New Roman"/>
          <w:sz w:val="20"/>
          <w:szCs w:val="20"/>
        </w:rPr>
        <w:t xml:space="preserve"> 29.12.2023 </w:t>
      </w:r>
      <w:r w:rsidR="00BC2D81" w:rsidRPr="00887F32">
        <w:rPr>
          <w:rStyle w:val="FontStyle21"/>
          <w:rFonts w:ascii="Verdana" w:hAnsi="Verdana" w:cs="Times New Roman"/>
          <w:sz w:val="20"/>
          <w:szCs w:val="20"/>
        </w:rPr>
        <w:t>№ 14/2023аренды недвижимого имущества, являющегося муниципальной собственностью</w:t>
      </w:r>
      <w:r w:rsidR="00BE3014">
        <w:rPr>
          <w:rStyle w:val="FontStyle21"/>
          <w:rFonts w:ascii="Verdana" w:hAnsi="Verdana" w:cs="Times New Roman"/>
          <w:sz w:val="20"/>
          <w:szCs w:val="20"/>
        </w:rPr>
        <w:t xml:space="preserve"> </w:t>
      </w:r>
      <w:r w:rsidR="00BC2D81" w:rsidRPr="00887F32">
        <w:rPr>
          <w:rStyle w:val="FontStyle21"/>
          <w:rFonts w:ascii="Verdana" w:hAnsi="Verdana" w:cs="Times New Roman"/>
          <w:sz w:val="20"/>
          <w:szCs w:val="20"/>
        </w:rPr>
        <w:t>от 29.12.2023 № 14/2023, и, соответстве</w:t>
      </w:r>
      <w:r w:rsidR="005843A9" w:rsidRPr="00887F32">
        <w:rPr>
          <w:rStyle w:val="FontStyle21"/>
          <w:rFonts w:ascii="Verdana" w:hAnsi="Verdana" w:cs="Times New Roman"/>
          <w:sz w:val="20"/>
          <w:szCs w:val="20"/>
        </w:rPr>
        <w:t xml:space="preserve">нно,  договора от 29.12.2023 </w:t>
      </w:r>
      <w:r w:rsidR="00BC2D81" w:rsidRPr="00887F32">
        <w:rPr>
          <w:rStyle w:val="FontStyle21"/>
          <w:rFonts w:ascii="Verdana" w:hAnsi="Verdana" w:cs="Times New Roman"/>
          <w:sz w:val="20"/>
          <w:szCs w:val="20"/>
        </w:rPr>
        <w:t xml:space="preserve"> № 14-2023-ОЭКУ, на оказание эксплуатационных услуг, возмещение расходов по содержанию здания, внесение амортизационных  отчислений и оплате коммунальных услуг от 29.12.2023 № 14-2023-ОЭКУ, заключенных между </w:t>
      </w:r>
      <w:r>
        <w:rPr>
          <w:rStyle w:val="FontStyle21"/>
          <w:rFonts w:ascii="Verdana" w:hAnsi="Verdana" w:cs="Times New Roman"/>
          <w:sz w:val="20"/>
          <w:szCs w:val="20"/>
        </w:rPr>
        <w:t xml:space="preserve">Предприятием (Арендодателем) и физическим лицом </w:t>
      </w:r>
      <w:r w:rsidR="00BC2D81" w:rsidRPr="00887F32">
        <w:rPr>
          <w:rStyle w:val="FontStyle21"/>
          <w:rFonts w:ascii="Verdana" w:hAnsi="Verdana" w:cs="Times New Roman"/>
          <w:sz w:val="20"/>
          <w:szCs w:val="20"/>
        </w:rPr>
        <w:t>(Арендатором) установлены факты: некорректного расчета Предприятием арендной платы</w:t>
      </w:r>
      <w:r w:rsidR="00BE3014">
        <w:rPr>
          <w:rStyle w:val="FontStyle21"/>
          <w:rFonts w:ascii="Verdana" w:hAnsi="Verdana" w:cs="Times New Roman"/>
          <w:sz w:val="20"/>
          <w:szCs w:val="20"/>
        </w:rPr>
        <w:t xml:space="preserve"> </w:t>
      </w:r>
      <w:r w:rsidR="00BC2D81" w:rsidRPr="00887F32">
        <w:rPr>
          <w:rStyle w:val="FontStyle21"/>
          <w:rFonts w:ascii="Verdana" w:hAnsi="Verdana" w:cs="Times New Roman"/>
          <w:sz w:val="20"/>
          <w:szCs w:val="20"/>
        </w:rPr>
        <w:t>по Договору от 29.12.2023 № 14/2023 (излишне уплаченная  Арендатором арендная плата составила 0,1 тыс. рублей</w:t>
      </w:r>
      <w:r w:rsidR="009E484C">
        <w:rPr>
          <w:rStyle w:val="FontStyle21"/>
          <w:rFonts w:ascii="Verdana" w:hAnsi="Verdana" w:cs="Times New Roman"/>
          <w:sz w:val="20"/>
          <w:szCs w:val="20"/>
        </w:rPr>
        <w:t>)</w:t>
      </w:r>
      <w:r w:rsidR="00BC2D81" w:rsidRPr="00887F32">
        <w:rPr>
          <w:rStyle w:val="FontStyle21"/>
          <w:rFonts w:ascii="Verdana" w:hAnsi="Verdana" w:cs="Times New Roman"/>
          <w:sz w:val="20"/>
          <w:szCs w:val="20"/>
        </w:rPr>
        <w:t>; нарушения Арендатором п. 4.1. Договора от 29.12.2023 № 14/2023, выразившегося в несвоевременной оплате  арендной платы (нарушение срока - 16 к.д.);</w:t>
      </w:r>
      <w:r w:rsidR="00BE3014">
        <w:rPr>
          <w:rStyle w:val="FontStyle21"/>
          <w:rFonts w:ascii="Verdana" w:hAnsi="Verdana" w:cs="Times New Roman"/>
          <w:sz w:val="20"/>
          <w:szCs w:val="20"/>
        </w:rPr>
        <w:t xml:space="preserve"> </w:t>
      </w:r>
      <w:r w:rsidR="00BC2D81" w:rsidRPr="00887F32">
        <w:rPr>
          <w:rStyle w:val="FontStyle21"/>
          <w:rFonts w:ascii="Verdana" w:hAnsi="Verdana" w:cs="Times New Roman"/>
          <w:sz w:val="20"/>
          <w:szCs w:val="20"/>
        </w:rPr>
        <w:t>нарушения Арендатором п. 3.2. Договора от 29.12.2023 № 14-2023-ОЭКУ, выразившегося в несоблюдении срока оплаты услуг (нарушение сроков составило  от  12 к.д. до 66 к.д.), при этом</w:t>
      </w:r>
      <w:r w:rsidR="00BC2D81" w:rsidRPr="00887F32">
        <w:rPr>
          <w:rFonts w:ascii="Verdana" w:hAnsi="Verdana" w:cs="Times New Roman"/>
          <w:sz w:val="20"/>
          <w:szCs w:val="20"/>
        </w:rPr>
        <w:t xml:space="preserve">, общий объем недополученных доходов (упущенная выгода), в связи  с неприменением Предприятием мер ответственности, предусмотренных п.7.2. Договора  </w:t>
      </w:r>
      <w:r w:rsidR="00BC2D81" w:rsidRPr="00887F32">
        <w:rPr>
          <w:rStyle w:val="FontStyle21"/>
          <w:rFonts w:ascii="Verdana" w:hAnsi="Verdana" w:cs="Times New Roman"/>
          <w:sz w:val="20"/>
          <w:szCs w:val="20"/>
        </w:rPr>
        <w:t>от 29.12.2023 № 14/2023, п.</w:t>
      </w:r>
      <w:r w:rsidR="00BC2D81" w:rsidRPr="00887F32">
        <w:rPr>
          <w:rFonts w:ascii="Verdana" w:hAnsi="Verdana" w:cs="Times New Roman"/>
          <w:sz w:val="20"/>
          <w:szCs w:val="20"/>
        </w:rPr>
        <w:t xml:space="preserve"> 4.1. Договора от </w:t>
      </w:r>
      <w:r w:rsidR="00BC2D81" w:rsidRPr="00887F32">
        <w:rPr>
          <w:rStyle w:val="FontStyle21"/>
          <w:rFonts w:ascii="Verdana" w:hAnsi="Verdana" w:cs="Times New Roman"/>
          <w:sz w:val="20"/>
          <w:szCs w:val="20"/>
        </w:rPr>
        <w:t>29.12.2023 № 14-2023-ОЭКУ,</w:t>
      </w:r>
      <w:r w:rsidR="00BC2D81" w:rsidRPr="00887F32">
        <w:rPr>
          <w:rFonts w:ascii="Verdana" w:hAnsi="Verdana" w:cs="Times New Roman"/>
          <w:sz w:val="20"/>
          <w:szCs w:val="20"/>
        </w:rPr>
        <w:t xml:space="preserve"> по расчету КСП составляет в сумме 1,</w:t>
      </w:r>
      <w:r>
        <w:rPr>
          <w:rFonts w:ascii="Verdana" w:hAnsi="Verdana" w:cs="Times New Roman"/>
          <w:sz w:val="20"/>
          <w:szCs w:val="20"/>
        </w:rPr>
        <w:t>3 тыс. рублей (1 272,18 рублей);</w:t>
      </w:r>
    </w:p>
    <w:p w:rsidR="00887F32" w:rsidRDefault="00887F32"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 xml:space="preserve">- </w:t>
      </w:r>
      <w:r w:rsidR="00BC2D81" w:rsidRPr="00887F32">
        <w:rPr>
          <w:rFonts w:ascii="Verdana" w:hAnsi="Verdana" w:cs="Times New Roman"/>
          <w:sz w:val="20"/>
          <w:szCs w:val="20"/>
        </w:rPr>
        <w:t>нарушения Предприятием п.1.6. Методики расчета арендной платы за муниципальное имущество, утвержденной решением Совета МОГО «Ухта от 06.03.2008 № 153, выразившийся в применении при расчете годовой арендной платы в рамках договоров аренды недвижимого имущества, являющегося муниципальной собственностью от 29.11.2023 №11/2023, от 01.12.2023  № 12/2023,</w:t>
      </w:r>
      <w:r>
        <w:rPr>
          <w:rFonts w:ascii="Verdana" w:hAnsi="Verdana" w:cs="Times New Roman"/>
          <w:sz w:val="20"/>
          <w:szCs w:val="20"/>
        </w:rPr>
        <w:t xml:space="preserve"> заключенных с Индивидуальным предпринимателем</w:t>
      </w:r>
      <w:r w:rsidR="00BC2D81" w:rsidRPr="00887F32">
        <w:rPr>
          <w:rFonts w:ascii="Verdana" w:hAnsi="Verdana" w:cs="Times New Roman"/>
          <w:sz w:val="20"/>
          <w:szCs w:val="20"/>
        </w:rPr>
        <w:t>, коэ</w:t>
      </w:r>
      <w:r>
        <w:rPr>
          <w:rFonts w:ascii="Verdana" w:hAnsi="Verdana" w:cs="Times New Roman"/>
          <w:sz w:val="20"/>
          <w:szCs w:val="20"/>
        </w:rPr>
        <w:t xml:space="preserve">ффициента вида деятельности, </w:t>
      </w:r>
      <w:r w:rsidR="00BC2D81" w:rsidRPr="00887F32">
        <w:rPr>
          <w:rFonts w:ascii="Verdana" w:hAnsi="Verdana" w:cs="Times New Roman"/>
          <w:sz w:val="20"/>
          <w:szCs w:val="20"/>
        </w:rPr>
        <w:t xml:space="preserve">не в зависимости от вида деятельности арендатора, соответствующего коду ОКВЭД (указанному в ЕГРИП), что повлекло недополучение  Предприятием доходов в виде арендной платы (по состоянию на 01.05.2024) за период с 29.11.2023 по 30.04.2024    в общей сумме 12,6  тыс. рублей (в том числе: по договору от 29.11.2023 № 11/2023 - 0,2   тыс. рублей, по договору от 01.12.2022 </w:t>
      </w:r>
      <w:r>
        <w:rPr>
          <w:rFonts w:ascii="Verdana" w:hAnsi="Verdana" w:cs="Times New Roman"/>
          <w:sz w:val="20"/>
          <w:szCs w:val="20"/>
        </w:rPr>
        <w:t>№ 12/2023 -  12,4 тыс. рублей);</w:t>
      </w:r>
    </w:p>
    <w:p w:rsidR="00961520" w:rsidRPr="00F45AC3" w:rsidRDefault="00961520" w:rsidP="009E484C">
      <w:pPr>
        <w:tabs>
          <w:tab w:val="left" w:pos="1125"/>
        </w:tabs>
        <w:spacing w:after="0" w:line="240" w:lineRule="auto"/>
        <w:ind w:firstLine="709"/>
        <w:jc w:val="both"/>
        <w:rPr>
          <w:rFonts w:ascii="Verdana" w:hAnsi="Verdana" w:cs="Times New Roman"/>
          <w:sz w:val="20"/>
          <w:szCs w:val="20"/>
        </w:rPr>
      </w:pPr>
      <w:r w:rsidRPr="00F45AC3">
        <w:rPr>
          <w:rFonts w:ascii="Verdana" w:hAnsi="Verdana" w:cs="Times New Roman"/>
          <w:sz w:val="20"/>
          <w:szCs w:val="20"/>
        </w:rPr>
        <w:t xml:space="preserve">- </w:t>
      </w:r>
      <w:r w:rsidR="00BC2D81" w:rsidRPr="00F45AC3">
        <w:rPr>
          <w:rFonts w:ascii="Verdana" w:hAnsi="Verdana" w:cs="Times New Roman"/>
          <w:sz w:val="20"/>
          <w:szCs w:val="20"/>
        </w:rPr>
        <w:t>совершении 8-ми крупных сделок на общую сумму 35 413,3 тыс. рублей, в том числе: в 2022 году - 4 сделки на общую сумму 17 316,7 тыс. рублей, в 2023 году - 4 сделки  на общую сумму 18 096,6 тыс. рублей без согласия собственника имущества унитарного предприятия (на дату совершения сделок), таковые согласия КУМИ были Предприятием значительно позже совершения крупных сделок  (нарушение сроков составило от 28 к.д.  до 237 к.д.);</w:t>
      </w:r>
    </w:p>
    <w:p w:rsidR="00BC2D81" w:rsidRDefault="00961520" w:rsidP="009E484C">
      <w:pPr>
        <w:tabs>
          <w:tab w:val="left" w:pos="1125"/>
        </w:tabs>
        <w:spacing w:after="0" w:line="240" w:lineRule="auto"/>
        <w:ind w:firstLine="709"/>
        <w:jc w:val="both"/>
        <w:rPr>
          <w:rFonts w:ascii="Verdana" w:hAnsi="Verdana" w:cs="Times New Roman"/>
          <w:sz w:val="20"/>
          <w:szCs w:val="20"/>
        </w:rPr>
      </w:pPr>
      <w:r w:rsidRPr="00F45AC3">
        <w:rPr>
          <w:rFonts w:ascii="Verdana" w:hAnsi="Verdana" w:cs="Times New Roman"/>
          <w:sz w:val="20"/>
          <w:szCs w:val="20"/>
        </w:rPr>
        <w:t>-</w:t>
      </w:r>
      <w:r w:rsidR="009E484C">
        <w:rPr>
          <w:rFonts w:ascii="Verdana" w:hAnsi="Verdana" w:cs="Times New Roman"/>
          <w:sz w:val="20"/>
          <w:szCs w:val="20"/>
        </w:rPr>
        <w:t xml:space="preserve"> </w:t>
      </w:r>
      <w:r w:rsidR="00BC2D81" w:rsidRPr="00F45AC3">
        <w:rPr>
          <w:rFonts w:ascii="Verdana" w:hAnsi="Verdana" w:cs="Times New Roman"/>
          <w:sz w:val="20"/>
          <w:szCs w:val="20"/>
        </w:rPr>
        <w:t>искусственном «дроблении» взаимосвязанных сделок (заключении Предприятием 52-х договоров на общую сумму 4 646,4 тыс. рублей, в том числе: в 2022 году  - 24 договора на общую сумму  2 189,8 тыс. рублей, 2023 год - 28 договоров на общую сумму 2 456,6 тыс. рублей), каждая из которых до 100,0 тыс. рублей, т.е. во избежание  необходимости согласования указанных сделок  с со</w:t>
      </w:r>
      <w:r w:rsidR="00CA61C8">
        <w:rPr>
          <w:rFonts w:ascii="Verdana" w:hAnsi="Verdana" w:cs="Times New Roman"/>
          <w:sz w:val="20"/>
          <w:szCs w:val="20"/>
        </w:rPr>
        <w:t>бственником имущества МУП «БОК»;</w:t>
      </w:r>
    </w:p>
    <w:p w:rsidR="00BC2D81" w:rsidRPr="00F45AC3" w:rsidRDefault="00CA61C8" w:rsidP="009E484C">
      <w:pPr>
        <w:tabs>
          <w:tab w:val="left" w:pos="1125"/>
        </w:tabs>
        <w:spacing w:after="0" w:line="240" w:lineRule="auto"/>
        <w:ind w:firstLine="709"/>
        <w:jc w:val="both"/>
        <w:rPr>
          <w:rFonts w:ascii="Verdana" w:hAnsi="Verdana" w:cs="Times New Roman"/>
          <w:sz w:val="20"/>
          <w:szCs w:val="20"/>
        </w:rPr>
      </w:pPr>
      <w:r>
        <w:rPr>
          <w:rFonts w:ascii="Verdana" w:hAnsi="Verdana" w:cs="Times New Roman"/>
          <w:sz w:val="20"/>
          <w:szCs w:val="20"/>
        </w:rPr>
        <w:t xml:space="preserve">- заключении договора купли-продажи </w:t>
      </w:r>
      <w:r w:rsidR="00D61043">
        <w:rPr>
          <w:rFonts w:ascii="Verdana" w:hAnsi="Verdana" w:cs="Times New Roman"/>
          <w:sz w:val="20"/>
          <w:szCs w:val="20"/>
        </w:rPr>
        <w:t xml:space="preserve">транспортного средства </w:t>
      </w:r>
      <w:r w:rsidR="00BC2D81" w:rsidRPr="00CA61C8">
        <w:rPr>
          <w:rFonts w:ascii="Verdana" w:hAnsi="Verdana" w:cs="Times New Roman"/>
          <w:iCs/>
          <w:sz w:val="20"/>
          <w:szCs w:val="20"/>
        </w:rPr>
        <w:t>от 20.07.2023 б/н на сумму 140,0 тыс. рублей, являющегося крупной с</w:t>
      </w:r>
      <w:r>
        <w:rPr>
          <w:rFonts w:ascii="Verdana" w:hAnsi="Verdana" w:cs="Times New Roman"/>
          <w:iCs/>
          <w:sz w:val="20"/>
          <w:szCs w:val="20"/>
        </w:rPr>
        <w:t xml:space="preserve">делкой,  с физическим лицом, которое, как индивидуальный предприниматель </w:t>
      </w:r>
      <w:r w:rsidR="00BC2D81" w:rsidRPr="00F45AC3">
        <w:rPr>
          <w:rFonts w:ascii="Verdana" w:hAnsi="Verdana" w:cs="Times New Roman"/>
          <w:sz w:val="20"/>
          <w:szCs w:val="20"/>
        </w:rPr>
        <w:t>осуществило обследование (дефектовку) транспортного средства «</w:t>
      </w:r>
      <w:r w:rsidR="00BC2D81" w:rsidRPr="00F45AC3">
        <w:rPr>
          <w:rFonts w:ascii="Verdana" w:hAnsi="Verdana" w:cs="Times New Roman"/>
          <w:sz w:val="20"/>
          <w:szCs w:val="20"/>
          <w:lang w:val="en-US"/>
        </w:rPr>
        <w:t>HYUNDAIACCENT</w:t>
      </w:r>
      <w:r w:rsidR="00BC2D81" w:rsidRPr="00F45AC3">
        <w:rPr>
          <w:rFonts w:ascii="Verdana" w:hAnsi="Verdana" w:cs="Times New Roman"/>
          <w:sz w:val="20"/>
          <w:szCs w:val="20"/>
        </w:rPr>
        <w:t>» 2008 года выпуска гос. рег. знак Н003СХ11 с составлением заказ-наряда от 25.05.2024 № ЗН1073627, с указанием в нем выявленных неисправностей ТС и необходимости их устранения на общую сумму 136,3 тыс.рублей;</w:t>
      </w:r>
    </w:p>
    <w:p w:rsidR="00CA61C8" w:rsidRDefault="00CA61C8" w:rsidP="009E484C">
      <w:pPr>
        <w:tabs>
          <w:tab w:val="left" w:pos="3780"/>
          <w:tab w:val="right" w:pos="9757"/>
        </w:tabs>
        <w:spacing w:after="0" w:line="240" w:lineRule="auto"/>
        <w:ind w:firstLine="709"/>
        <w:jc w:val="both"/>
        <w:rPr>
          <w:rFonts w:ascii="Verdana" w:hAnsi="Verdana" w:cs="Times New Roman"/>
          <w:bCs/>
          <w:sz w:val="20"/>
          <w:szCs w:val="20"/>
        </w:rPr>
      </w:pPr>
      <w:r>
        <w:rPr>
          <w:rFonts w:ascii="Verdana" w:hAnsi="Verdana" w:cs="Times New Roman"/>
          <w:sz w:val="20"/>
          <w:szCs w:val="20"/>
        </w:rPr>
        <w:t xml:space="preserve"> - </w:t>
      </w:r>
      <w:r>
        <w:rPr>
          <w:rFonts w:ascii="Verdana" w:hAnsi="Verdana" w:cs="Times New Roman"/>
          <w:bCs/>
          <w:sz w:val="20"/>
          <w:szCs w:val="20"/>
        </w:rPr>
        <w:t>нарушении порядка списания автотранспортных средств;</w:t>
      </w:r>
    </w:p>
    <w:p w:rsidR="00BC2D81" w:rsidRPr="00CA61C8" w:rsidRDefault="00CA61C8" w:rsidP="009E484C">
      <w:pPr>
        <w:tabs>
          <w:tab w:val="left" w:pos="3780"/>
          <w:tab w:val="right" w:pos="9757"/>
        </w:tabs>
        <w:spacing w:after="0" w:line="240" w:lineRule="auto"/>
        <w:ind w:firstLine="709"/>
        <w:jc w:val="both"/>
        <w:rPr>
          <w:rFonts w:ascii="Verdana" w:hAnsi="Verdana" w:cs="Times New Roman"/>
          <w:sz w:val="20"/>
          <w:szCs w:val="20"/>
        </w:rPr>
      </w:pPr>
      <w:r>
        <w:rPr>
          <w:rFonts w:ascii="Verdana" w:hAnsi="Verdana" w:cs="Times New Roman"/>
          <w:bCs/>
          <w:sz w:val="20"/>
          <w:szCs w:val="20"/>
        </w:rPr>
        <w:t xml:space="preserve"> - нарушении сроков представлении отчетности (расчетов), предусмотренных муниципальными правовыми актами, а также соглашениями;</w:t>
      </w:r>
    </w:p>
    <w:p w:rsidR="00BC2D81" w:rsidRPr="00F45AC3" w:rsidRDefault="00CA61C8" w:rsidP="009E484C">
      <w:pPr>
        <w:spacing w:after="0" w:line="240" w:lineRule="auto"/>
        <w:ind w:firstLine="709"/>
        <w:jc w:val="both"/>
        <w:rPr>
          <w:rFonts w:ascii="Verdana" w:hAnsi="Verdana" w:cs="Times New Roman"/>
          <w:bCs/>
          <w:iCs/>
          <w:sz w:val="20"/>
          <w:szCs w:val="20"/>
        </w:rPr>
      </w:pPr>
      <w:r>
        <w:rPr>
          <w:rFonts w:ascii="Verdana" w:hAnsi="Verdana" w:cs="Times New Roman"/>
          <w:bCs/>
          <w:iCs/>
          <w:sz w:val="20"/>
          <w:szCs w:val="20"/>
        </w:rPr>
        <w:lastRenderedPageBreak/>
        <w:t>- непринятии мер</w:t>
      </w:r>
      <w:r w:rsidR="00BC2D81" w:rsidRPr="00F45AC3">
        <w:rPr>
          <w:rFonts w:ascii="Verdana" w:hAnsi="Verdana" w:cs="Times New Roman"/>
          <w:bCs/>
          <w:iCs/>
          <w:sz w:val="20"/>
          <w:szCs w:val="20"/>
        </w:rPr>
        <w:t xml:space="preserve"> по внесению изменений в Программу развития Предприятия на 2022 год, в части а</w:t>
      </w:r>
      <w:r>
        <w:rPr>
          <w:rFonts w:ascii="Verdana" w:hAnsi="Verdana" w:cs="Times New Roman"/>
          <w:bCs/>
          <w:iCs/>
          <w:sz w:val="20"/>
          <w:szCs w:val="20"/>
        </w:rPr>
        <w:t>ктуализации перечня мероприятий;</w:t>
      </w:r>
    </w:p>
    <w:p w:rsidR="00BC2D81" w:rsidRPr="00F45AC3" w:rsidRDefault="00CA61C8" w:rsidP="009E484C">
      <w:pPr>
        <w:spacing w:after="0" w:line="240" w:lineRule="auto"/>
        <w:ind w:firstLine="709"/>
        <w:jc w:val="both"/>
        <w:rPr>
          <w:rFonts w:ascii="Verdana" w:hAnsi="Verdana" w:cs="Times New Roman"/>
          <w:bCs/>
          <w:iCs/>
          <w:sz w:val="20"/>
          <w:szCs w:val="20"/>
        </w:rPr>
      </w:pPr>
      <w:r>
        <w:rPr>
          <w:rFonts w:ascii="Verdana" w:hAnsi="Verdana" w:cs="Times New Roman"/>
          <w:bCs/>
          <w:iCs/>
          <w:sz w:val="20"/>
          <w:szCs w:val="20"/>
        </w:rPr>
        <w:t>- невыполнении в полном объеме Программы развития Предприятия на 2022 год;</w:t>
      </w:r>
    </w:p>
    <w:p w:rsidR="00CA61C8" w:rsidRDefault="00CA61C8" w:rsidP="009E484C">
      <w:pPr>
        <w:spacing w:after="0" w:line="240" w:lineRule="auto"/>
        <w:ind w:firstLine="709"/>
        <w:jc w:val="both"/>
        <w:rPr>
          <w:rFonts w:ascii="Verdana" w:hAnsi="Verdana" w:cs="Times New Roman"/>
          <w:sz w:val="20"/>
          <w:szCs w:val="20"/>
        </w:rPr>
      </w:pPr>
      <w:r>
        <w:rPr>
          <w:rFonts w:ascii="Verdana" w:hAnsi="Verdana" w:cs="Times New Roman"/>
          <w:bCs/>
          <w:iCs/>
          <w:sz w:val="20"/>
          <w:szCs w:val="20"/>
        </w:rPr>
        <w:t xml:space="preserve">- </w:t>
      </w:r>
      <w:r>
        <w:rPr>
          <w:rFonts w:ascii="Verdana" w:hAnsi="Verdana" w:cs="Times New Roman"/>
          <w:sz w:val="20"/>
          <w:szCs w:val="20"/>
        </w:rPr>
        <w:t>необоснованном уменьшении</w:t>
      </w:r>
      <w:r w:rsidR="00BC2D81" w:rsidRPr="00CA61C8">
        <w:rPr>
          <w:rFonts w:ascii="Verdana" w:hAnsi="Verdana" w:cs="Times New Roman"/>
          <w:sz w:val="20"/>
          <w:szCs w:val="20"/>
        </w:rPr>
        <w:t xml:space="preserve"> Предприятием доходов на общую сумму расходов, составившую 175,5  тыс. р</w:t>
      </w:r>
      <w:r w:rsidR="00961520" w:rsidRPr="00CA61C8">
        <w:rPr>
          <w:rFonts w:ascii="Verdana" w:hAnsi="Verdana" w:cs="Times New Roman"/>
          <w:sz w:val="20"/>
          <w:szCs w:val="20"/>
        </w:rPr>
        <w:t xml:space="preserve">ублей, в том числе: 2022 год - 73,6 тыс. рублей, 2023 год - </w:t>
      </w:r>
      <w:r w:rsidR="00BC2D81" w:rsidRPr="00CA61C8">
        <w:rPr>
          <w:rFonts w:ascii="Verdana" w:hAnsi="Verdana" w:cs="Times New Roman"/>
          <w:sz w:val="20"/>
          <w:szCs w:val="20"/>
        </w:rPr>
        <w:t>101,9  тыс. рублей</w:t>
      </w:r>
      <w:r w:rsidR="00124866" w:rsidRPr="00CA61C8">
        <w:rPr>
          <w:rFonts w:ascii="Verdana" w:hAnsi="Verdana" w:cs="Times New Roman"/>
          <w:sz w:val="20"/>
          <w:szCs w:val="20"/>
        </w:rPr>
        <w:t xml:space="preserve">, обусловленные </w:t>
      </w:r>
      <w:r w:rsidR="00BC2D81" w:rsidRPr="00CA61C8">
        <w:rPr>
          <w:rFonts w:ascii="Verdana" w:hAnsi="Verdana" w:cs="Times New Roman"/>
          <w:sz w:val="20"/>
          <w:szCs w:val="20"/>
        </w:rPr>
        <w:t>установле</w:t>
      </w:r>
      <w:r w:rsidR="00124866" w:rsidRPr="00CA61C8">
        <w:rPr>
          <w:rFonts w:ascii="Verdana" w:hAnsi="Verdana" w:cs="Times New Roman"/>
          <w:sz w:val="20"/>
          <w:szCs w:val="20"/>
        </w:rPr>
        <w:t>нн</w:t>
      </w:r>
      <w:r w:rsidR="00BC2D81" w:rsidRPr="00CA61C8">
        <w:rPr>
          <w:rFonts w:ascii="Verdana" w:hAnsi="Verdana" w:cs="Times New Roman"/>
          <w:sz w:val="20"/>
          <w:szCs w:val="20"/>
        </w:rPr>
        <w:t>ы</w:t>
      </w:r>
      <w:r w:rsidR="00124866" w:rsidRPr="00CA61C8">
        <w:rPr>
          <w:rFonts w:ascii="Verdana" w:hAnsi="Verdana" w:cs="Times New Roman"/>
          <w:sz w:val="20"/>
          <w:szCs w:val="20"/>
        </w:rPr>
        <w:t>ми</w:t>
      </w:r>
      <w:r w:rsidR="009E484C">
        <w:rPr>
          <w:rFonts w:ascii="Verdana" w:hAnsi="Verdana" w:cs="Times New Roman"/>
          <w:sz w:val="20"/>
          <w:szCs w:val="20"/>
        </w:rPr>
        <w:t xml:space="preserve"> </w:t>
      </w:r>
      <w:r w:rsidR="00124866" w:rsidRPr="00CA61C8">
        <w:rPr>
          <w:rFonts w:ascii="Verdana" w:hAnsi="Verdana" w:cs="Times New Roman"/>
          <w:sz w:val="20"/>
          <w:szCs w:val="20"/>
        </w:rPr>
        <w:t>ошибками</w:t>
      </w:r>
      <w:r w:rsidR="00961520" w:rsidRPr="00CA61C8">
        <w:rPr>
          <w:rFonts w:ascii="Verdana" w:hAnsi="Verdana" w:cs="Times New Roman"/>
          <w:sz w:val="20"/>
          <w:szCs w:val="20"/>
        </w:rPr>
        <w:t xml:space="preserve"> при расчете и начислении </w:t>
      </w:r>
      <w:r w:rsidR="00BC2D81" w:rsidRPr="00CA61C8">
        <w:rPr>
          <w:rFonts w:ascii="Verdana" w:hAnsi="Verdana" w:cs="Times New Roman"/>
          <w:sz w:val="20"/>
          <w:szCs w:val="20"/>
        </w:rPr>
        <w:t>заработной платы директору Предприятия, а также начислений на нее, составивший   в проверяемом периоде в общей сумме  230,5    тыс. рублей (2022 год -  126,0    тыс. рублей;2</w:t>
      </w:r>
      <w:r>
        <w:rPr>
          <w:rFonts w:ascii="Verdana" w:hAnsi="Verdana" w:cs="Times New Roman"/>
          <w:sz w:val="20"/>
          <w:szCs w:val="20"/>
        </w:rPr>
        <w:t>023 год -  104,5   тыс. рублей);</w:t>
      </w:r>
    </w:p>
    <w:p w:rsidR="00CA61C8" w:rsidRPr="00CA61C8" w:rsidRDefault="00CA61C8" w:rsidP="009E484C">
      <w:pPr>
        <w:tabs>
          <w:tab w:val="left" w:pos="1134"/>
        </w:tabs>
        <w:spacing w:after="0" w:line="240" w:lineRule="auto"/>
        <w:ind w:firstLine="709"/>
        <w:jc w:val="both"/>
        <w:rPr>
          <w:rFonts w:ascii="Verdana" w:hAnsi="Verdana" w:cs="Times New Roman"/>
          <w:bCs/>
          <w:iCs/>
          <w:sz w:val="20"/>
          <w:szCs w:val="20"/>
        </w:rPr>
      </w:pPr>
      <w:r w:rsidRPr="00CA61C8">
        <w:rPr>
          <w:rFonts w:ascii="Verdana" w:hAnsi="Verdana" w:cs="Times New Roman"/>
          <w:sz w:val="20"/>
          <w:szCs w:val="20"/>
        </w:rPr>
        <w:t>- неотражении Предприятием на счете 63 «Резервы по сомнительным долгам» просроченной дебиторской задолженности (нереальная к взысканию)</w:t>
      </w:r>
      <w:r w:rsidR="009E484C">
        <w:rPr>
          <w:rFonts w:ascii="Verdana" w:hAnsi="Verdana" w:cs="Times New Roman"/>
          <w:sz w:val="20"/>
          <w:szCs w:val="20"/>
        </w:rPr>
        <w:t xml:space="preserve"> </w:t>
      </w:r>
      <w:r w:rsidRPr="00CA61C8">
        <w:rPr>
          <w:rFonts w:ascii="Verdana" w:hAnsi="Verdana" w:cs="Times New Roman"/>
          <w:sz w:val="20"/>
          <w:szCs w:val="20"/>
        </w:rPr>
        <w:t>в сумме 546,8 тыс. рублей (ООО «Санрайз»), фактически учитываемая Предприятием на счете 62.01. «Расчеты с покупателями и заказчиками».</w:t>
      </w:r>
    </w:p>
    <w:p w:rsidR="00CA61C8" w:rsidRDefault="00CA61C8" w:rsidP="009E484C">
      <w:pPr>
        <w:spacing w:after="0" w:line="240" w:lineRule="auto"/>
        <w:ind w:firstLine="709"/>
        <w:jc w:val="both"/>
        <w:rPr>
          <w:rFonts w:ascii="Verdana" w:hAnsi="Verdana" w:cs="Times New Roman"/>
          <w:sz w:val="20"/>
          <w:szCs w:val="20"/>
        </w:rPr>
      </w:pPr>
      <w:r>
        <w:rPr>
          <w:rFonts w:ascii="Verdana" w:hAnsi="Verdana" w:cs="Times New Roman"/>
          <w:sz w:val="20"/>
          <w:szCs w:val="20"/>
        </w:rPr>
        <w:t>- нарушении сроков проведения инвентаризации;</w:t>
      </w:r>
    </w:p>
    <w:p w:rsidR="00BC2D81" w:rsidRPr="00CA61C8" w:rsidRDefault="00CA61C8" w:rsidP="009E484C">
      <w:pPr>
        <w:tabs>
          <w:tab w:val="left" w:pos="1134"/>
        </w:tabs>
        <w:spacing w:after="0" w:line="240" w:lineRule="auto"/>
        <w:ind w:firstLine="709"/>
        <w:jc w:val="both"/>
        <w:rPr>
          <w:rFonts w:ascii="Verdana" w:hAnsi="Verdana" w:cs="Times New Roman"/>
          <w:bCs/>
          <w:iCs/>
          <w:sz w:val="20"/>
          <w:szCs w:val="20"/>
        </w:rPr>
      </w:pPr>
      <w:r>
        <w:rPr>
          <w:rFonts w:ascii="Verdana" w:hAnsi="Verdana" w:cs="Times New Roman"/>
          <w:sz w:val="20"/>
          <w:szCs w:val="20"/>
        </w:rPr>
        <w:t>- нарушения исполенения обязательств в рамках заключенных договоров;</w:t>
      </w:r>
    </w:p>
    <w:p w:rsidR="00BC2D81" w:rsidRPr="00CA61C8" w:rsidRDefault="00CA61C8" w:rsidP="009E484C">
      <w:pPr>
        <w:pStyle w:val="af1"/>
        <w:tabs>
          <w:tab w:val="left" w:pos="1134"/>
        </w:tabs>
        <w:spacing w:after="0" w:line="240" w:lineRule="auto"/>
        <w:ind w:left="0" w:firstLine="709"/>
        <w:jc w:val="both"/>
        <w:rPr>
          <w:rFonts w:ascii="Verdana" w:hAnsi="Verdana" w:cs="Times New Roman"/>
          <w:bCs/>
          <w:iCs/>
          <w:sz w:val="20"/>
          <w:szCs w:val="20"/>
        </w:rPr>
      </w:pPr>
      <w:r>
        <w:rPr>
          <w:rFonts w:ascii="Verdana" w:hAnsi="Verdana" w:cs="Times New Roman"/>
          <w:sz w:val="20"/>
          <w:szCs w:val="20"/>
        </w:rPr>
        <w:t xml:space="preserve">- </w:t>
      </w:r>
      <w:r w:rsidR="00BC2D81" w:rsidRPr="00CA61C8">
        <w:rPr>
          <w:rFonts w:ascii="Verdana" w:hAnsi="Verdana" w:cs="Times New Roman"/>
          <w:sz w:val="20"/>
          <w:szCs w:val="20"/>
        </w:rPr>
        <w:t>наличии ошибок,  допущ</w:t>
      </w:r>
      <w:r w:rsidR="00BF579F">
        <w:rPr>
          <w:rFonts w:ascii="Verdana" w:hAnsi="Verdana" w:cs="Times New Roman"/>
          <w:sz w:val="20"/>
          <w:szCs w:val="20"/>
        </w:rPr>
        <w:t xml:space="preserve">енных  МУП «БОК» при расчете директору Предприятия </w:t>
      </w:r>
      <w:r w:rsidR="00BC2D81" w:rsidRPr="00CA61C8">
        <w:rPr>
          <w:rFonts w:ascii="Verdana" w:hAnsi="Verdana" w:cs="Times New Roman"/>
          <w:sz w:val="20"/>
          <w:szCs w:val="20"/>
        </w:rPr>
        <w:t xml:space="preserve"> заработной платы в общей сумме 230,5 тыс. рублей (в том числе: оплата труда - 177,1 тыс. рублей; начисления на оплату труда – 53,4 тыс. рублей), из них: переплата в сумме 203,0 тыс. рублей (в том числе: оплата труда в - 156,0 тыс. рублей; начисления на оплату труда - 47,0 тыс. рублей); недоплата в сумме 27,5 тыс. рублей (в том числе: оплата труда в - 21,1 тыс. рублей; начисления на оплату труда – 6,4 тыс. рублей).</w:t>
      </w:r>
    </w:p>
    <w:p w:rsidR="00BF579F" w:rsidRDefault="00BF579F" w:rsidP="009E484C">
      <w:pPr>
        <w:widowControl w:val="0"/>
        <w:autoSpaceDE w:val="0"/>
        <w:autoSpaceDN w:val="0"/>
        <w:spacing w:after="0" w:line="240" w:lineRule="auto"/>
        <w:ind w:firstLine="709"/>
        <w:jc w:val="both"/>
        <w:rPr>
          <w:rFonts w:ascii="Verdana" w:hAnsi="Verdana" w:cs="Times New Roman"/>
          <w:sz w:val="20"/>
          <w:szCs w:val="20"/>
        </w:rPr>
      </w:pPr>
      <w:r>
        <w:rPr>
          <w:rFonts w:ascii="Verdana" w:hAnsi="Verdana" w:cs="Times New Roman"/>
          <w:sz w:val="20"/>
          <w:szCs w:val="20"/>
        </w:rPr>
        <w:t>По результатам проверки Контрольно-счетной палатой муниципального округа «Ухта» направлены:</w:t>
      </w:r>
    </w:p>
    <w:p w:rsidR="00BF579F" w:rsidRDefault="00BF579F" w:rsidP="009E484C">
      <w:pPr>
        <w:widowControl w:val="0"/>
        <w:autoSpaceDE w:val="0"/>
        <w:autoSpaceDN w:val="0"/>
        <w:spacing w:after="0" w:line="240" w:lineRule="auto"/>
        <w:ind w:firstLine="709"/>
        <w:jc w:val="both"/>
        <w:rPr>
          <w:rFonts w:ascii="Verdana" w:hAnsi="Verdana" w:cs="Times New Roman"/>
          <w:sz w:val="20"/>
          <w:szCs w:val="20"/>
        </w:rPr>
      </w:pPr>
      <w:r>
        <w:rPr>
          <w:rFonts w:ascii="Verdana" w:hAnsi="Verdana" w:cs="Times New Roman"/>
          <w:sz w:val="20"/>
          <w:szCs w:val="20"/>
        </w:rPr>
        <w:t>- 1 отчет о результатах контрольного мероприятия в Совет муниципального округа «Ухта»;</w:t>
      </w:r>
    </w:p>
    <w:p w:rsidR="00BF579F" w:rsidRDefault="00BF579F" w:rsidP="009E484C">
      <w:pPr>
        <w:widowControl w:val="0"/>
        <w:autoSpaceDE w:val="0"/>
        <w:autoSpaceDN w:val="0"/>
        <w:spacing w:after="0" w:line="240" w:lineRule="auto"/>
        <w:ind w:firstLine="709"/>
        <w:jc w:val="both"/>
        <w:rPr>
          <w:rFonts w:ascii="Verdana" w:hAnsi="Verdana" w:cs="Times New Roman"/>
          <w:sz w:val="20"/>
          <w:szCs w:val="20"/>
        </w:rPr>
      </w:pPr>
      <w:r>
        <w:rPr>
          <w:rFonts w:ascii="Verdana" w:hAnsi="Verdana" w:cs="Times New Roman"/>
          <w:sz w:val="20"/>
          <w:szCs w:val="20"/>
        </w:rPr>
        <w:t>- 1 представление в адрес  Предприятия;</w:t>
      </w:r>
    </w:p>
    <w:p w:rsidR="00BF579F" w:rsidRPr="00BF579F" w:rsidRDefault="00BF579F" w:rsidP="009E484C">
      <w:pPr>
        <w:widowControl w:val="0"/>
        <w:autoSpaceDE w:val="0"/>
        <w:autoSpaceDN w:val="0"/>
        <w:spacing w:after="0" w:line="240" w:lineRule="auto"/>
        <w:ind w:firstLine="709"/>
        <w:jc w:val="both"/>
        <w:rPr>
          <w:rFonts w:ascii="Verdana" w:hAnsi="Verdana" w:cs="Times New Roman"/>
          <w:sz w:val="20"/>
          <w:szCs w:val="20"/>
        </w:rPr>
      </w:pPr>
      <w:r>
        <w:rPr>
          <w:rFonts w:ascii="Verdana" w:hAnsi="Verdana" w:cs="Times New Roman"/>
          <w:sz w:val="20"/>
          <w:szCs w:val="20"/>
        </w:rPr>
        <w:t>- 1 информ</w:t>
      </w:r>
      <w:r w:rsidR="00D61043">
        <w:rPr>
          <w:rFonts w:ascii="Verdana" w:hAnsi="Verdana" w:cs="Times New Roman"/>
          <w:sz w:val="20"/>
          <w:szCs w:val="20"/>
        </w:rPr>
        <w:t xml:space="preserve">ация </w:t>
      </w:r>
      <w:r>
        <w:rPr>
          <w:rFonts w:ascii="Verdana" w:hAnsi="Verdana" w:cs="Times New Roman"/>
          <w:sz w:val="20"/>
          <w:szCs w:val="20"/>
        </w:rPr>
        <w:t xml:space="preserve"> в администрацию муниципального округа «Ухта».</w:t>
      </w:r>
    </w:p>
    <w:p w:rsidR="00BC2D81" w:rsidRPr="00F45AC3" w:rsidRDefault="00BC2D81" w:rsidP="005843A9">
      <w:pPr>
        <w:spacing w:after="0" w:line="240" w:lineRule="auto"/>
        <w:ind w:right="6" w:firstLine="720"/>
        <w:jc w:val="both"/>
        <w:rPr>
          <w:rFonts w:ascii="Verdana" w:hAnsi="Verdana" w:cs="Times New Roman"/>
          <w:sz w:val="20"/>
          <w:szCs w:val="20"/>
        </w:rPr>
      </w:pPr>
    </w:p>
    <w:p w:rsidR="005B04E2" w:rsidRPr="00F45AC3" w:rsidRDefault="005B04E2" w:rsidP="005843A9">
      <w:pPr>
        <w:spacing w:after="0" w:line="240" w:lineRule="auto"/>
        <w:ind w:right="6" w:firstLine="709"/>
        <w:jc w:val="both"/>
        <w:rPr>
          <w:rFonts w:ascii="Verdana" w:hAnsi="Verdana" w:cs="Times New Roman"/>
          <w:sz w:val="20"/>
          <w:szCs w:val="20"/>
        </w:rPr>
      </w:pPr>
    </w:p>
    <w:p w:rsidR="005B04E2" w:rsidRPr="00F45AC3" w:rsidRDefault="005B04E2" w:rsidP="005843A9">
      <w:pPr>
        <w:spacing w:after="0" w:line="240" w:lineRule="auto"/>
        <w:ind w:right="6" w:firstLine="709"/>
        <w:jc w:val="both"/>
        <w:rPr>
          <w:rFonts w:ascii="Verdana" w:hAnsi="Verdana" w:cs="Times New Roman"/>
          <w:sz w:val="20"/>
          <w:szCs w:val="20"/>
        </w:rPr>
      </w:pPr>
      <w:bookmarkStart w:id="0" w:name="_GoBack"/>
      <w:bookmarkEnd w:id="0"/>
    </w:p>
    <w:sectPr w:rsidR="005B04E2" w:rsidRPr="00F45AC3" w:rsidSect="005843A9">
      <w:headerReference w:type="default" r:id="rId8"/>
      <w:pgSz w:w="11906" w:h="16838"/>
      <w:pgMar w:top="42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7C9" w:rsidRDefault="00A657C9" w:rsidP="00A26C61">
      <w:pPr>
        <w:spacing w:after="0" w:line="240" w:lineRule="auto"/>
      </w:pPr>
      <w:r>
        <w:separator/>
      </w:r>
    </w:p>
  </w:endnote>
  <w:endnote w:type="continuationSeparator" w:id="1">
    <w:p w:rsidR="00A657C9" w:rsidRDefault="00A657C9" w:rsidP="00A26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7C9" w:rsidRDefault="00A657C9" w:rsidP="00A26C61">
      <w:pPr>
        <w:spacing w:after="0" w:line="240" w:lineRule="auto"/>
      </w:pPr>
      <w:r>
        <w:separator/>
      </w:r>
    </w:p>
  </w:footnote>
  <w:footnote w:type="continuationSeparator" w:id="1">
    <w:p w:rsidR="00A657C9" w:rsidRDefault="00A657C9" w:rsidP="00A26C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890595"/>
      <w:docPartObj>
        <w:docPartGallery w:val="Page Numbers (Top of Page)"/>
        <w:docPartUnique/>
      </w:docPartObj>
    </w:sdtPr>
    <w:sdtContent>
      <w:p w:rsidR="005843A9" w:rsidRDefault="00944745">
        <w:pPr>
          <w:pStyle w:val="a5"/>
          <w:jc w:val="center"/>
        </w:pPr>
        <w:r w:rsidRPr="005843A9">
          <w:rPr>
            <w:sz w:val="16"/>
            <w:szCs w:val="16"/>
          </w:rPr>
          <w:fldChar w:fldCharType="begin"/>
        </w:r>
        <w:r w:rsidR="005843A9" w:rsidRPr="005843A9">
          <w:rPr>
            <w:sz w:val="16"/>
            <w:szCs w:val="16"/>
          </w:rPr>
          <w:instrText>PAGE   \* MERGEFORMAT</w:instrText>
        </w:r>
        <w:r w:rsidRPr="005843A9">
          <w:rPr>
            <w:sz w:val="16"/>
            <w:szCs w:val="16"/>
          </w:rPr>
          <w:fldChar w:fldCharType="separate"/>
        </w:r>
        <w:r w:rsidR="009E484C">
          <w:rPr>
            <w:noProof/>
            <w:sz w:val="16"/>
            <w:szCs w:val="16"/>
          </w:rPr>
          <w:t>5</w:t>
        </w:r>
        <w:r w:rsidRPr="005843A9">
          <w:rPr>
            <w:sz w:val="16"/>
            <w:szCs w:val="16"/>
          </w:rPr>
          <w:fldChar w:fldCharType="end"/>
        </w:r>
      </w:p>
    </w:sdtContent>
  </w:sdt>
  <w:p w:rsidR="005843A9" w:rsidRDefault="005843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01"/>
    <w:multiLevelType w:val="hybridMultilevel"/>
    <w:tmpl w:val="CEEA8AF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1E676CE"/>
    <w:multiLevelType w:val="hybridMultilevel"/>
    <w:tmpl w:val="077EC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53EB7"/>
    <w:multiLevelType w:val="hybridMultilevel"/>
    <w:tmpl w:val="31D4EE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980529"/>
    <w:multiLevelType w:val="hybridMultilevel"/>
    <w:tmpl w:val="B81A451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3307CA1"/>
    <w:multiLevelType w:val="hybridMultilevel"/>
    <w:tmpl w:val="55EEF2D8"/>
    <w:lvl w:ilvl="0" w:tplc="C2723A9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36A752DC"/>
    <w:multiLevelType w:val="multilevel"/>
    <w:tmpl w:val="0A166BAA"/>
    <w:lvl w:ilvl="0">
      <w:start w:val="5"/>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nsid w:val="38500465"/>
    <w:multiLevelType w:val="hybridMultilevel"/>
    <w:tmpl w:val="98E29890"/>
    <w:lvl w:ilvl="0" w:tplc="6BFAC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A26F8D"/>
    <w:multiLevelType w:val="hybridMultilevel"/>
    <w:tmpl w:val="2E6647B6"/>
    <w:lvl w:ilvl="0" w:tplc="C9CE88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6C61"/>
    <w:rsid w:val="00043FF0"/>
    <w:rsid w:val="000573B3"/>
    <w:rsid w:val="00096565"/>
    <w:rsid w:val="000E3E86"/>
    <w:rsid w:val="000F7585"/>
    <w:rsid w:val="00124866"/>
    <w:rsid w:val="001A6DCC"/>
    <w:rsid w:val="001B1C3D"/>
    <w:rsid w:val="001D6C8A"/>
    <w:rsid w:val="0023144C"/>
    <w:rsid w:val="00236A5F"/>
    <w:rsid w:val="00242033"/>
    <w:rsid w:val="002569BA"/>
    <w:rsid w:val="00273E2A"/>
    <w:rsid w:val="002A6847"/>
    <w:rsid w:val="002D2E9F"/>
    <w:rsid w:val="002D45B4"/>
    <w:rsid w:val="002D5142"/>
    <w:rsid w:val="002E1EE0"/>
    <w:rsid w:val="00350B6A"/>
    <w:rsid w:val="00370095"/>
    <w:rsid w:val="003979C0"/>
    <w:rsid w:val="003B00E6"/>
    <w:rsid w:val="00483348"/>
    <w:rsid w:val="0048447A"/>
    <w:rsid w:val="004C461B"/>
    <w:rsid w:val="00502939"/>
    <w:rsid w:val="005511B9"/>
    <w:rsid w:val="0056271E"/>
    <w:rsid w:val="00572527"/>
    <w:rsid w:val="005843A9"/>
    <w:rsid w:val="005B04E2"/>
    <w:rsid w:val="005C1669"/>
    <w:rsid w:val="005F57B3"/>
    <w:rsid w:val="00624E8E"/>
    <w:rsid w:val="006333E1"/>
    <w:rsid w:val="00694E41"/>
    <w:rsid w:val="006A1635"/>
    <w:rsid w:val="006A2F0A"/>
    <w:rsid w:val="00723B22"/>
    <w:rsid w:val="00784019"/>
    <w:rsid w:val="007B1EE1"/>
    <w:rsid w:val="007B2275"/>
    <w:rsid w:val="007C1360"/>
    <w:rsid w:val="007E2D84"/>
    <w:rsid w:val="008112D6"/>
    <w:rsid w:val="008759C0"/>
    <w:rsid w:val="00887F32"/>
    <w:rsid w:val="008A632A"/>
    <w:rsid w:val="008D430B"/>
    <w:rsid w:val="008D4A5C"/>
    <w:rsid w:val="008F7F7B"/>
    <w:rsid w:val="00944745"/>
    <w:rsid w:val="00961520"/>
    <w:rsid w:val="009757CC"/>
    <w:rsid w:val="00983C46"/>
    <w:rsid w:val="00996E48"/>
    <w:rsid w:val="009A1E0F"/>
    <w:rsid w:val="009A388B"/>
    <w:rsid w:val="009E484C"/>
    <w:rsid w:val="009F4F2B"/>
    <w:rsid w:val="00A16D10"/>
    <w:rsid w:val="00A2516B"/>
    <w:rsid w:val="00A26C61"/>
    <w:rsid w:val="00A3011A"/>
    <w:rsid w:val="00A469AA"/>
    <w:rsid w:val="00A47667"/>
    <w:rsid w:val="00A566E8"/>
    <w:rsid w:val="00A657C9"/>
    <w:rsid w:val="00A729AE"/>
    <w:rsid w:val="00AA1595"/>
    <w:rsid w:val="00AA666B"/>
    <w:rsid w:val="00AD42FE"/>
    <w:rsid w:val="00AF56D3"/>
    <w:rsid w:val="00B074AF"/>
    <w:rsid w:val="00B33705"/>
    <w:rsid w:val="00B46462"/>
    <w:rsid w:val="00B515E4"/>
    <w:rsid w:val="00B83BA3"/>
    <w:rsid w:val="00B852FF"/>
    <w:rsid w:val="00BC2D81"/>
    <w:rsid w:val="00BE3014"/>
    <w:rsid w:val="00BF2EBB"/>
    <w:rsid w:val="00BF579F"/>
    <w:rsid w:val="00BF66EE"/>
    <w:rsid w:val="00C10BB8"/>
    <w:rsid w:val="00C14CEA"/>
    <w:rsid w:val="00C26F5E"/>
    <w:rsid w:val="00C57F0E"/>
    <w:rsid w:val="00C60C0D"/>
    <w:rsid w:val="00C6316B"/>
    <w:rsid w:val="00C77F3B"/>
    <w:rsid w:val="00C865AF"/>
    <w:rsid w:val="00C91BBE"/>
    <w:rsid w:val="00CA61C8"/>
    <w:rsid w:val="00CC5267"/>
    <w:rsid w:val="00CD3560"/>
    <w:rsid w:val="00D13C85"/>
    <w:rsid w:val="00D17085"/>
    <w:rsid w:val="00D61043"/>
    <w:rsid w:val="00D74412"/>
    <w:rsid w:val="00DC7BE5"/>
    <w:rsid w:val="00E011F4"/>
    <w:rsid w:val="00E0242A"/>
    <w:rsid w:val="00E07AFF"/>
    <w:rsid w:val="00E25940"/>
    <w:rsid w:val="00E40E47"/>
    <w:rsid w:val="00E84139"/>
    <w:rsid w:val="00E849AE"/>
    <w:rsid w:val="00E957F5"/>
    <w:rsid w:val="00EA4FE1"/>
    <w:rsid w:val="00EF0B1E"/>
    <w:rsid w:val="00F01D69"/>
    <w:rsid w:val="00F3364C"/>
    <w:rsid w:val="00F45AC3"/>
    <w:rsid w:val="00F8089F"/>
    <w:rsid w:val="00FC3830"/>
    <w:rsid w:val="00FE14EE"/>
    <w:rsid w:val="00FE7975"/>
    <w:rsid w:val="00FF2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C61"/>
    <w:rPr>
      <w:rFonts w:ascii="Tahoma" w:hAnsi="Tahoma" w:cs="Tahoma"/>
      <w:sz w:val="16"/>
      <w:szCs w:val="16"/>
    </w:rPr>
  </w:style>
  <w:style w:type="paragraph" w:styleId="a5">
    <w:name w:val="header"/>
    <w:basedOn w:val="a"/>
    <w:link w:val="a6"/>
    <w:uiPriority w:val="99"/>
    <w:unhideWhenUsed/>
    <w:rsid w:val="00A26C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C61"/>
  </w:style>
  <w:style w:type="paragraph" w:styleId="a7">
    <w:name w:val="footer"/>
    <w:basedOn w:val="a"/>
    <w:link w:val="a8"/>
    <w:uiPriority w:val="99"/>
    <w:unhideWhenUsed/>
    <w:rsid w:val="00A26C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C61"/>
  </w:style>
  <w:style w:type="table" w:styleId="a9">
    <w:name w:val="Table Grid"/>
    <w:basedOn w:val="a1"/>
    <w:uiPriority w:val="59"/>
    <w:rsid w:val="00A469AA"/>
    <w:pPr>
      <w:spacing w:after="0" w:line="240" w:lineRule="auto"/>
      <w:ind w:left="-102" w:right="-142"/>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iPriority w:val="99"/>
    <w:semiHidden/>
    <w:unhideWhenUsed/>
    <w:rsid w:val="002D45B4"/>
    <w:rPr>
      <w:color w:val="0563C1"/>
      <w:u w:val="single"/>
    </w:rPr>
  </w:style>
  <w:style w:type="paragraph" w:styleId="ab">
    <w:name w:val="endnote text"/>
    <w:basedOn w:val="a"/>
    <w:link w:val="ac"/>
    <w:uiPriority w:val="99"/>
    <w:semiHidden/>
    <w:unhideWhenUsed/>
    <w:rsid w:val="00723B22"/>
    <w:pPr>
      <w:spacing w:after="0" w:line="240" w:lineRule="auto"/>
    </w:pPr>
    <w:rPr>
      <w:sz w:val="20"/>
      <w:szCs w:val="20"/>
    </w:rPr>
  </w:style>
  <w:style w:type="character" w:customStyle="1" w:styleId="ac">
    <w:name w:val="Текст концевой сноски Знак"/>
    <w:basedOn w:val="a0"/>
    <w:link w:val="ab"/>
    <w:uiPriority w:val="99"/>
    <w:semiHidden/>
    <w:rsid w:val="00723B22"/>
    <w:rPr>
      <w:sz w:val="20"/>
      <w:szCs w:val="20"/>
    </w:rPr>
  </w:style>
  <w:style w:type="character" w:styleId="ad">
    <w:name w:val="endnote reference"/>
    <w:basedOn w:val="a0"/>
    <w:uiPriority w:val="99"/>
    <w:semiHidden/>
    <w:unhideWhenUsed/>
    <w:rsid w:val="00723B22"/>
    <w:rPr>
      <w:vertAlign w:val="superscript"/>
    </w:rPr>
  </w:style>
  <w:style w:type="paragraph" w:styleId="ae">
    <w:name w:val="footnote text"/>
    <w:basedOn w:val="a"/>
    <w:link w:val="af"/>
    <w:uiPriority w:val="99"/>
    <w:semiHidden/>
    <w:unhideWhenUsed/>
    <w:rsid w:val="007C1360"/>
    <w:pPr>
      <w:spacing w:after="0" w:line="240" w:lineRule="auto"/>
    </w:pPr>
    <w:rPr>
      <w:sz w:val="20"/>
      <w:szCs w:val="20"/>
    </w:rPr>
  </w:style>
  <w:style w:type="character" w:customStyle="1" w:styleId="af">
    <w:name w:val="Текст сноски Знак"/>
    <w:basedOn w:val="a0"/>
    <w:link w:val="ae"/>
    <w:uiPriority w:val="99"/>
    <w:semiHidden/>
    <w:rsid w:val="007C1360"/>
    <w:rPr>
      <w:sz w:val="20"/>
      <w:szCs w:val="20"/>
    </w:rPr>
  </w:style>
  <w:style w:type="character" w:styleId="af0">
    <w:name w:val="footnote reference"/>
    <w:basedOn w:val="a0"/>
    <w:uiPriority w:val="99"/>
    <w:semiHidden/>
    <w:unhideWhenUsed/>
    <w:rsid w:val="007C1360"/>
    <w:rPr>
      <w:vertAlign w:val="superscript"/>
    </w:rPr>
  </w:style>
  <w:style w:type="paragraph" w:styleId="af1">
    <w:name w:val="List Paragraph"/>
    <w:basedOn w:val="a"/>
    <w:uiPriority w:val="34"/>
    <w:qFormat/>
    <w:rsid w:val="00B852FF"/>
    <w:pPr>
      <w:ind w:left="720"/>
      <w:contextualSpacing/>
    </w:pPr>
  </w:style>
  <w:style w:type="paragraph" w:customStyle="1" w:styleId="Style15">
    <w:name w:val="Style15"/>
    <w:basedOn w:val="a"/>
    <w:uiPriority w:val="99"/>
    <w:rsid w:val="00BC2D81"/>
    <w:pPr>
      <w:widowControl w:val="0"/>
      <w:autoSpaceDE w:val="0"/>
      <w:autoSpaceDN w:val="0"/>
      <w:adjustRightInd w:val="0"/>
      <w:spacing w:after="0" w:line="259" w:lineRule="exact"/>
      <w:ind w:firstLine="223"/>
    </w:pPr>
    <w:rPr>
      <w:rFonts w:ascii="Arial" w:eastAsia="Times New Roman" w:hAnsi="Arial" w:cs="Arial"/>
      <w:sz w:val="24"/>
      <w:szCs w:val="24"/>
    </w:rPr>
  </w:style>
  <w:style w:type="character" w:customStyle="1" w:styleId="FontStyle21">
    <w:name w:val="Font Style21"/>
    <w:uiPriority w:val="99"/>
    <w:rsid w:val="00BC2D81"/>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C61"/>
    <w:rPr>
      <w:rFonts w:ascii="Tahoma" w:hAnsi="Tahoma" w:cs="Tahoma"/>
      <w:sz w:val="16"/>
      <w:szCs w:val="16"/>
    </w:rPr>
  </w:style>
  <w:style w:type="paragraph" w:styleId="a5">
    <w:name w:val="header"/>
    <w:basedOn w:val="a"/>
    <w:link w:val="a6"/>
    <w:uiPriority w:val="99"/>
    <w:unhideWhenUsed/>
    <w:rsid w:val="00A26C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C61"/>
  </w:style>
  <w:style w:type="paragraph" w:styleId="a7">
    <w:name w:val="footer"/>
    <w:basedOn w:val="a"/>
    <w:link w:val="a8"/>
    <w:uiPriority w:val="99"/>
    <w:unhideWhenUsed/>
    <w:rsid w:val="00A26C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C61"/>
  </w:style>
  <w:style w:type="table" w:styleId="a9">
    <w:name w:val="Table Grid"/>
    <w:basedOn w:val="a1"/>
    <w:uiPriority w:val="59"/>
    <w:rsid w:val="00A469AA"/>
    <w:pPr>
      <w:spacing w:after="0" w:line="240" w:lineRule="auto"/>
      <w:ind w:left="-102" w:right="-142"/>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iPriority w:val="99"/>
    <w:semiHidden/>
    <w:unhideWhenUsed/>
    <w:rsid w:val="002D45B4"/>
    <w:rPr>
      <w:color w:val="0563C1"/>
      <w:u w:val="single"/>
    </w:rPr>
  </w:style>
  <w:style w:type="paragraph" w:styleId="ab">
    <w:name w:val="endnote text"/>
    <w:basedOn w:val="a"/>
    <w:link w:val="ac"/>
    <w:uiPriority w:val="99"/>
    <w:semiHidden/>
    <w:unhideWhenUsed/>
    <w:rsid w:val="00723B22"/>
    <w:pPr>
      <w:spacing w:after="0" w:line="240" w:lineRule="auto"/>
    </w:pPr>
    <w:rPr>
      <w:sz w:val="20"/>
      <w:szCs w:val="20"/>
    </w:rPr>
  </w:style>
  <w:style w:type="character" w:customStyle="1" w:styleId="ac">
    <w:name w:val="Текст концевой сноски Знак"/>
    <w:basedOn w:val="a0"/>
    <w:link w:val="ab"/>
    <w:uiPriority w:val="99"/>
    <w:semiHidden/>
    <w:rsid w:val="00723B22"/>
    <w:rPr>
      <w:sz w:val="20"/>
      <w:szCs w:val="20"/>
    </w:rPr>
  </w:style>
  <w:style w:type="character" w:styleId="ad">
    <w:name w:val="endnote reference"/>
    <w:basedOn w:val="a0"/>
    <w:uiPriority w:val="99"/>
    <w:semiHidden/>
    <w:unhideWhenUsed/>
    <w:rsid w:val="00723B22"/>
    <w:rPr>
      <w:vertAlign w:val="superscript"/>
    </w:rPr>
  </w:style>
  <w:style w:type="paragraph" w:styleId="ae">
    <w:name w:val="footnote text"/>
    <w:basedOn w:val="a"/>
    <w:link w:val="af"/>
    <w:uiPriority w:val="99"/>
    <w:semiHidden/>
    <w:unhideWhenUsed/>
    <w:rsid w:val="007C1360"/>
    <w:pPr>
      <w:spacing w:after="0" w:line="240" w:lineRule="auto"/>
    </w:pPr>
    <w:rPr>
      <w:sz w:val="20"/>
      <w:szCs w:val="20"/>
    </w:rPr>
  </w:style>
  <w:style w:type="character" w:customStyle="1" w:styleId="af">
    <w:name w:val="Текст сноски Знак"/>
    <w:basedOn w:val="a0"/>
    <w:link w:val="ae"/>
    <w:uiPriority w:val="99"/>
    <w:semiHidden/>
    <w:rsid w:val="007C1360"/>
    <w:rPr>
      <w:sz w:val="20"/>
      <w:szCs w:val="20"/>
    </w:rPr>
  </w:style>
  <w:style w:type="character" w:styleId="af0">
    <w:name w:val="footnote reference"/>
    <w:basedOn w:val="a0"/>
    <w:uiPriority w:val="99"/>
    <w:semiHidden/>
    <w:unhideWhenUsed/>
    <w:rsid w:val="007C1360"/>
    <w:rPr>
      <w:vertAlign w:val="superscript"/>
    </w:rPr>
  </w:style>
  <w:style w:type="paragraph" w:styleId="af1">
    <w:name w:val="List Paragraph"/>
    <w:basedOn w:val="a"/>
    <w:uiPriority w:val="34"/>
    <w:qFormat/>
    <w:rsid w:val="00B852FF"/>
    <w:pPr>
      <w:ind w:left="720"/>
      <w:contextualSpacing/>
    </w:pPr>
  </w:style>
  <w:style w:type="paragraph" w:customStyle="1" w:styleId="Style15">
    <w:name w:val="Style15"/>
    <w:basedOn w:val="a"/>
    <w:uiPriority w:val="99"/>
    <w:rsid w:val="00BC2D81"/>
    <w:pPr>
      <w:widowControl w:val="0"/>
      <w:autoSpaceDE w:val="0"/>
      <w:autoSpaceDN w:val="0"/>
      <w:adjustRightInd w:val="0"/>
      <w:spacing w:after="0" w:line="259" w:lineRule="exact"/>
      <w:ind w:firstLine="223"/>
    </w:pPr>
    <w:rPr>
      <w:rFonts w:ascii="Arial" w:eastAsia="Times New Roman" w:hAnsi="Arial" w:cs="Arial"/>
      <w:sz w:val="24"/>
      <w:szCs w:val="24"/>
    </w:rPr>
  </w:style>
  <w:style w:type="character" w:customStyle="1" w:styleId="FontStyle21">
    <w:name w:val="Font Style21"/>
    <w:uiPriority w:val="99"/>
    <w:rsid w:val="00BC2D81"/>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25F4-A003-40D8-9543-F7D66ED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cp:lastPrinted>2023-11-22T12:12:00Z</cp:lastPrinted>
  <dcterms:created xsi:type="dcterms:W3CDTF">2024-01-10T09:50:00Z</dcterms:created>
  <dcterms:modified xsi:type="dcterms:W3CDTF">2024-05-24T12:27:00Z</dcterms:modified>
</cp:coreProperties>
</file>